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CEE39" w14:textId="0E9AC567" w:rsidR="004E2751" w:rsidRDefault="004E2751" w:rsidP="00A36080">
      <w:pPr>
        <w:pStyle w:val="paragraph"/>
        <w:ind w:left="720" w:firstLine="720"/>
        <w:textAlignment w:val="baseline"/>
        <w:rPr>
          <w:rFonts w:asciiTheme="minorHAnsi" w:eastAsiaTheme="minorHAnsi" w:hAnsiTheme="minorHAnsi" w:cstheme="minorBidi"/>
          <w:noProof/>
          <w:sz w:val="22"/>
          <w:szCs w:val="22"/>
        </w:rPr>
      </w:pPr>
      <w:r>
        <w:rPr>
          <w:rFonts w:asciiTheme="minorHAnsi" w:eastAsiaTheme="minorHAnsi" w:hAnsiTheme="minorHAnsi" w:cstheme="minorBidi"/>
          <w:noProof/>
          <w:sz w:val="22"/>
          <w:szCs w:val="22"/>
        </w:rPr>
        <w:drawing>
          <wp:inline distT="0" distB="0" distL="0" distR="0" wp14:anchorId="7BE0CDA0" wp14:editId="6293B4CB">
            <wp:extent cx="3802380" cy="774288"/>
            <wp:effectExtent l="0" t="0" r="762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73185" cy="788706"/>
                    </a:xfrm>
                    <a:prstGeom prst="rect">
                      <a:avLst/>
                    </a:prstGeom>
                    <a:noFill/>
                    <a:ln>
                      <a:noFill/>
                    </a:ln>
                  </pic:spPr>
                </pic:pic>
              </a:graphicData>
            </a:graphic>
          </wp:inline>
        </w:drawing>
      </w:r>
    </w:p>
    <w:p w14:paraId="3F9603F8" w14:textId="0B98FA45" w:rsidR="00FD12E8" w:rsidRPr="00AC64E8" w:rsidRDefault="00FD12E8" w:rsidP="00562280">
      <w:pPr>
        <w:pStyle w:val="paragraph"/>
        <w:spacing w:after="0" w:afterAutospacing="0"/>
        <w:ind w:firstLine="720"/>
        <w:textAlignment w:val="baseline"/>
        <w:rPr>
          <w:rFonts w:ascii="Copperplate Gothic Bold" w:eastAsiaTheme="minorHAnsi" w:hAnsi="Copperplate Gothic Bold" w:cs="Segoe UI"/>
          <w:b/>
          <w:bCs/>
          <w:sz w:val="56"/>
          <w:szCs w:val="56"/>
          <w:u w:val="single"/>
        </w:rPr>
      </w:pPr>
      <w:r w:rsidRPr="00AC64E8">
        <w:rPr>
          <w:rFonts w:ascii="Copperplate Gothic Bold" w:eastAsiaTheme="minorHAnsi" w:hAnsi="Copperplate Gothic Bold" w:cs="Segoe UI"/>
          <w:b/>
          <w:bCs/>
          <w:sz w:val="56"/>
          <w:szCs w:val="56"/>
          <w:u w:val="single"/>
        </w:rPr>
        <w:t>TO PLEAD OR NOT</w:t>
      </w:r>
      <w:r w:rsidR="008B6433" w:rsidRPr="00AC64E8">
        <w:rPr>
          <w:rFonts w:ascii="Copperplate Gothic Bold" w:eastAsiaTheme="minorHAnsi" w:hAnsi="Copperplate Gothic Bold" w:cs="Segoe UI"/>
          <w:b/>
          <w:bCs/>
          <w:sz w:val="56"/>
          <w:szCs w:val="56"/>
          <w:u w:val="single"/>
        </w:rPr>
        <w:t xml:space="preserve"> TO PLEAD</w:t>
      </w:r>
    </w:p>
    <w:p w14:paraId="3EB4EEB2" w14:textId="1F512308" w:rsidR="00132831" w:rsidRPr="00AC64E8" w:rsidRDefault="00D119D1" w:rsidP="00653870">
      <w:pPr>
        <w:pStyle w:val="paragraph"/>
        <w:spacing w:after="0" w:afterAutospacing="0"/>
        <w:ind w:firstLine="720"/>
        <w:jc w:val="center"/>
        <w:textAlignment w:val="baseline"/>
        <w:rPr>
          <w:rFonts w:ascii="Century Schoolbook" w:hAnsi="Century Schoolbook" w:cs="Segoe UI"/>
          <w:sz w:val="36"/>
          <w:szCs w:val="36"/>
        </w:rPr>
      </w:pPr>
      <w:r w:rsidRPr="00AC64E8">
        <w:rPr>
          <w:rFonts w:ascii="Century Schoolbook" w:hAnsi="Century Schoolbook" w:cs="Segoe UI"/>
          <w:noProof/>
          <w:sz w:val="36"/>
          <w:szCs w:val="36"/>
        </w:rPr>
        <mc:AlternateContent>
          <mc:Choice Requires="wps">
            <w:drawing>
              <wp:anchor distT="0" distB="0" distL="114300" distR="114300" simplePos="0" relativeHeight="251659264" behindDoc="1" locked="0" layoutInCell="1" allowOverlap="1" wp14:anchorId="06B9AD0C" wp14:editId="5B7A0871">
                <wp:simplePos x="0" y="0"/>
                <wp:positionH relativeFrom="column">
                  <wp:posOffset>215900</wp:posOffset>
                </wp:positionH>
                <wp:positionV relativeFrom="paragraph">
                  <wp:posOffset>213995</wp:posOffset>
                </wp:positionV>
                <wp:extent cx="6271260" cy="1013460"/>
                <wp:effectExtent l="57150" t="38100" r="72390" b="91440"/>
                <wp:wrapNone/>
                <wp:docPr id="1" name="Rectangle: Rounded Corners 1"/>
                <wp:cNvGraphicFramePr/>
                <a:graphic xmlns:a="http://schemas.openxmlformats.org/drawingml/2006/main">
                  <a:graphicData uri="http://schemas.microsoft.com/office/word/2010/wordprocessingShape">
                    <wps:wsp>
                      <wps:cNvSpPr/>
                      <wps:spPr>
                        <a:xfrm>
                          <a:off x="0" y="0"/>
                          <a:ext cx="6271260" cy="1013460"/>
                        </a:xfrm>
                        <a:prstGeom prst="roundRect">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FD0C5B6" id="Rectangle: Rounded Corners 1" o:spid="_x0000_s1026" style="position:absolute;margin-left:17pt;margin-top:16.85pt;width:493.8pt;height:79.8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" fillcolor="#d2d2d2 [1622]" strokecolor="#9c9c9c [3046]">
                <v:fill color2="#f1f1f1 [502]" rotate="t" angle="180" colors="0 #d8d8d8;22938f #e3e3e3;1 #f4f4f4" focus="100%" type="gradient"/>
                <v:shadow on="t" color="black" opacity="24903f" origin=",.5" offset="0,.55556mm"/>
              </v:roundrect>
            </w:pict>
          </mc:Fallback>
        </mc:AlternateContent>
      </w:r>
    </w:p>
    <w:p w14:paraId="737CFE75" w14:textId="2CA5B448" w:rsidR="00C30FBC" w:rsidRPr="0050136A" w:rsidRDefault="005C5535" w:rsidP="005C5535">
      <w:pPr>
        <w:pStyle w:val="NoSpacing"/>
        <w:rPr>
          <w:rStyle w:val="Strong"/>
          <w:rFonts w:ascii="Amasis MT Pro Medium" w:hAnsi="Amasis MT Pro Medium"/>
          <w:sz w:val="32"/>
          <w:szCs w:val="32"/>
        </w:rPr>
      </w:pPr>
      <w:r>
        <w:rPr>
          <w:rFonts w:ascii="Amasis MT Pro Medium" w:hAnsi="Amasis MT Pro Medium" w:cs="Segoe UI"/>
          <w:sz w:val="32"/>
          <w:szCs w:val="32"/>
        </w:rPr>
        <w:t xml:space="preserve">      </w:t>
      </w:r>
      <w:r w:rsidR="008B6433" w:rsidRPr="003579B8">
        <w:rPr>
          <w:rStyle w:val="Strong"/>
          <w:rFonts w:ascii="Amasis MT Pro Medium" w:hAnsi="Amasis MT Pro Medium"/>
          <w:color w:val="0000FF"/>
          <w:sz w:val="32"/>
          <w:szCs w:val="32"/>
        </w:rPr>
        <w:t>SESSION:</w:t>
      </w:r>
      <w:r w:rsidR="008B6433" w:rsidRPr="0050136A">
        <w:rPr>
          <w:rFonts w:ascii="Amasis MT Pro Medium" w:hAnsi="Amasis MT Pro Medium" w:cs="Segoe UI"/>
          <w:sz w:val="32"/>
          <w:szCs w:val="32"/>
        </w:rPr>
        <w:t xml:space="preserve"> </w:t>
      </w:r>
      <w:r w:rsidR="008B6433" w:rsidRPr="0050136A">
        <w:rPr>
          <w:rFonts w:ascii="Amasis MT Pro Medium" w:hAnsi="Amasis MT Pro Medium"/>
          <w:sz w:val="32"/>
          <w:szCs w:val="32"/>
        </w:rPr>
        <w:t xml:space="preserve"> </w:t>
      </w:r>
      <w:r w:rsidR="008B6433" w:rsidRPr="0050136A">
        <w:rPr>
          <w:rStyle w:val="Strong"/>
          <w:rFonts w:ascii="Amasis MT Pro Medium" w:hAnsi="Amasis MT Pro Medium"/>
          <w:sz w:val="32"/>
          <w:szCs w:val="32"/>
        </w:rPr>
        <w:t>Pushing Back- Getting What You Need to Prepare</w:t>
      </w:r>
    </w:p>
    <w:p w14:paraId="093E719B" w14:textId="40887627" w:rsidR="00C30FBC" w:rsidRPr="0050136A" w:rsidRDefault="005C5535" w:rsidP="005C5535">
      <w:pPr>
        <w:pStyle w:val="NoSpacing"/>
        <w:ind w:left="720" w:firstLine="720"/>
        <w:rPr>
          <w:rStyle w:val="Strong"/>
          <w:rFonts w:ascii="Amasis MT Pro Medium" w:hAnsi="Amasis MT Pro Medium"/>
          <w:sz w:val="32"/>
          <w:szCs w:val="32"/>
        </w:rPr>
      </w:pPr>
      <w:r>
        <w:rPr>
          <w:rStyle w:val="Strong"/>
          <w:rFonts w:ascii="Amasis MT Pro Medium" w:hAnsi="Amasis MT Pro Medium"/>
          <w:sz w:val="32"/>
          <w:szCs w:val="32"/>
        </w:rPr>
        <w:t xml:space="preserve">       </w:t>
      </w:r>
      <w:r w:rsidR="00C30FBC" w:rsidRPr="0050136A">
        <w:rPr>
          <w:rStyle w:val="Strong"/>
          <w:rFonts w:ascii="Amasis MT Pro Medium" w:hAnsi="Amasis MT Pro Medium"/>
          <w:sz w:val="32"/>
          <w:szCs w:val="32"/>
        </w:rPr>
        <w:t>Your Case</w:t>
      </w:r>
      <w:r w:rsidR="00C30FBC" w:rsidRPr="0050136A">
        <w:rPr>
          <w:rFonts w:ascii="Amasis MT Pro Medium" w:hAnsi="Amasis MT Pro Medium"/>
          <w:sz w:val="32"/>
          <w:szCs w:val="32"/>
        </w:rPr>
        <w:t xml:space="preserve"> f</w:t>
      </w:r>
      <w:r w:rsidR="00C30FBC" w:rsidRPr="0050136A">
        <w:rPr>
          <w:rStyle w:val="Strong"/>
          <w:rFonts w:ascii="Amasis MT Pro Medium" w:hAnsi="Amasis MT Pro Medium"/>
          <w:sz w:val="32"/>
          <w:szCs w:val="32"/>
        </w:rPr>
        <w:t>or Plea or Trial. Presented by Sheri Oertel</w:t>
      </w:r>
    </w:p>
    <w:p w14:paraId="27677C1E" w14:textId="07BF6B94" w:rsidR="00835782" w:rsidRPr="0050136A" w:rsidRDefault="005C5535" w:rsidP="005C5535">
      <w:pPr>
        <w:pStyle w:val="NoSpacing"/>
        <w:ind w:left="720" w:firstLine="720"/>
        <w:rPr>
          <w:rStyle w:val="Strong"/>
          <w:rFonts w:ascii="Amasis MT Pro Medium" w:hAnsi="Amasis MT Pro Medium"/>
          <w:sz w:val="32"/>
          <w:szCs w:val="32"/>
        </w:rPr>
      </w:pPr>
      <w:r>
        <w:rPr>
          <w:rStyle w:val="Strong"/>
          <w:rFonts w:ascii="Amasis MT Pro Medium" w:hAnsi="Amasis MT Pro Medium"/>
          <w:sz w:val="32"/>
          <w:szCs w:val="32"/>
        </w:rPr>
        <w:t xml:space="preserve">       </w:t>
      </w:r>
      <w:r w:rsidR="00835782" w:rsidRPr="0050136A">
        <w:rPr>
          <w:rStyle w:val="Strong"/>
          <w:rFonts w:ascii="Amasis MT Pro Medium" w:hAnsi="Amasis MT Pro Medium"/>
          <w:sz w:val="32"/>
          <w:szCs w:val="32"/>
        </w:rPr>
        <w:t>And Victoria Blumhorst</w:t>
      </w:r>
      <w:r w:rsidR="004505A2">
        <w:rPr>
          <w:rStyle w:val="Strong"/>
          <w:rFonts w:ascii="Amasis MT Pro Medium" w:hAnsi="Amasis MT Pro Medium"/>
          <w:sz w:val="32"/>
          <w:szCs w:val="32"/>
        </w:rPr>
        <w:t>. December 16, 2022.</w:t>
      </w:r>
    </w:p>
    <w:p w14:paraId="5C0532D8" w14:textId="32AE677C" w:rsidR="00835782" w:rsidRDefault="00835782" w:rsidP="00835782">
      <w:pPr>
        <w:pStyle w:val="NoSpacing"/>
        <w:rPr>
          <w:rStyle w:val="Strong"/>
          <w:rFonts w:ascii="Arial Rounded MT Bold" w:hAnsi="Arial Rounded MT Bold"/>
          <w:sz w:val="32"/>
          <w:szCs w:val="32"/>
        </w:rPr>
      </w:pPr>
    </w:p>
    <w:p w14:paraId="1AEF7780" w14:textId="21FFE4AA" w:rsidR="00286BA8" w:rsidRDefault="00F5604D" w:rsidP="00F5604D">
      <w:pPr>
        <w:pStyle w:val="NoSpacing"/>
        <w:rPr>
          <w:rFonts w:ascii="Copperplate Gothic Light" w:hAnsi="Copperplate Gothic Light" w:cs="Segoe UI"/>
          <w:b/>
          <w:bCs/>
          <w:sz w:val="44"/>
          <w:szCs w:val="44"/>
        </w:rPr>
      </w:pPr>
      <w:r>
        <w:rPr>
          <w:rFonts w:ascii="Copperplate Gothic Light" w:hAnsi="Copperplate Gothic Light" w:cs="Segoe UI"/>
          <w:b/>
          <w:bCs/>
          <w:i/>
          <w:iCs/>
          <w:color w:val="9AEF0F"/>
          <w:sz w:val="44"/>
          <w:szCs w:val="44"/>
        </w:rPr>
        <w:t xml:space="preserve">      </w:t>
      </w:r>
      <w:r w:rsidR="00FD12E8" w:rsidRPr="00B13D52">
        <w:rPr>
          <w:rFonts w:ascii="Copperplate Gothic Light" w:hAnsi="Copperplate Gothic Light" w:cs="Segoe UI"/>
          <w:b/>
          <w:bCs/>
          <w:sz w:val="44"/>
          <w:szCs w:val="44"/>
        </w:rPr>
        <w:t>CITED AUTHORITIES AND RESOURCES</w:t>
      </w:r>
    </w:p>
    <w:p w14:paraId="5C7E455B" w14:textId="48BDCE70" w:rsidR="00917F12" w:rsidRPr="000C7936" w:rsidRDefault="00917F12" w:rsidP="00917F12">
      <w:pPr>
        <w:pStyle w:val="paragraph"/>
        <w:ind w:left="1008" w:right="1008"/>
        <w:textAlignment w:val="baseline"/>
        <w:rPr>
          <w:rFonts w:asciiTheme="minorHAnsi" w:hAnsiTheme="minorHAnsi" w:cstheme="minorHAnsi"/>
        </w:rPr>
      </w:pPr>
      <w:r w:rsidRPr="008E37A5">
        <w:rPr>
          <w:rFonts w:ascii="Arial" w:hAnsi="Arial" w:cs="Arial"/>
          <w:b/>
          <w:bCs/>
          <w:color w:val="00B050"/>
          <w:u w:val="single"/>
        </w:rPr>
        <w:t>PLEASE NOTE:</w:t>
      </w:r>
      <w:r w:rsidRPr="008E37A5">
        <w:rPr>
          <w:rFonts w:ascii="Arial" w:hAnsi="Arial" w:cs="Arial"/>
          <w:color w:val="00B050"/>
        </w:rPr>
        <w:t xml:space="preserve"> </w:t>
      </w:r>
      <w:r w:rsidRPr="008E37A5">
        <w:rPr>
          <w:rFonts w:ascii="Arial" w:hAnsi="Arial" w:cs="Arial"/>
        </w:rPr>
        <w:t>Some of these resources are older</w:t>
      </w:r>
      <w:r w:rsidR="008A0689">
        <w:rPr>
          <w:rFonts w:ascii="Arial" w:hAnsi="Arial" w:cs="Arial"/>
        </w:rPr>
        <w:t>, and ther</w:t>
      </w:r>
      <w:r w:rsidRPr="008E37A5">
        <w:rPr>
          <w:rFonts w:ascii="Arial" w:hAnsi="Arial" w:cs="Arial"/>
        </w:rPr>
        <w:t xml:space="preserve">e may be updates. Please check citation validity with either Shepard (Lexis Nexus) or </w:t>
      </w:r>
      <w:proofErr w:type="spellStart"/>
      <w:r w:rsidRPr="008E37A5">
        <w:rPr>
          <w:rFonts w:ascii="Arial" w:hAnsi="Arial" w:cs="Arial"/>
        </w:rPr>
        <w:t>KeyCite</w:t>
      </w:r>
      <w:proofErr w:type="spellEnd"/>
      <w:r w:rsidRPr="008E37A5">
        <w:rPr>
          <w:rFonts w:ascii="Arial" w:hAnsi="Arial" w:cs="Arial"/>
        </w:rPr>
        <w:t xml:space="preserve"> (West</w:t>
      </w:r>
      <w:r w:rsidR="00E51860">
        <w:rPr>
          <w:rFonts w:ascii="Arial" w:hAnsi="Arial" w:cs="Arial"/>
        </w:rPr>
        <w:t xml:space="preserve"> </w:t>
      </w:r>
      <w:r w:rsidRPr="008E37A5">
        <w:rPr>
          <w:rFonts w:ascii="Arial" w:hAnsi="Arial" w:cs="Arial"/>
        </w:rPr>
        <w:t xml:space="preserve">Law </w:t>
      </w:r>
      <w:r w:rsidR="00E51860">
        <w:rPr>
          <w:rFonts w:ascii="Arial" w:hAnsi="Arial" w:cs="Arial"/>
        </w:rPr>
        <w:t xml:space="preserve">Next </w:t>
      </w:r>
      <w:r w:rsidRPr="008E37A5">
        <w:rPr>
          <w:rFonts w:ascii="Arial" w:hAnsi="Arial" w:cs="Arial"/>
        </w:rPr>
        <w:t>– Automated under West Check or Quick Check) prior to using the listed authorities</w:t>
      </w:r>
      <w:r w:rsidRPr="000C7936">
        <w:rPr>
          <w:rFonts w:asciiTheme="minorHAnsi" w:hAnsiTheme="minorHAnsi" w:cstheme="minorHAnsi"/>
        </w:rPr>
        <w:t>.</w:t>
      </w:r>
    </w:p>
    <w:p w14:paraId="55B8AAB2" w14:textId="1C7EDF0A" w:rsidR="00E773C1" w:rsidRPr="00DC38A4" w:rsidRDefault="00E40AB0" w:rsidP="00FA5F29">
      <w:pPr>
        <w:pStyle w:val="paragraph"/>
        <w:textAlignment w:val="baseline"/>
        <w:rPr>
          <w:rFonts w:asciiTheme="minorHAnsi" w:hAnsiTheme="minorHAnsi" w:cstheme="minorHAnsi"/>
          <w:sz w:val="28"/>
          <w:szCs w:val="28"/>
        </w:rPr>
      </w:pPr>
      <w:r w:rsidRPr="00DC38A4">
        <w:rPr>
          <w:rFonts w:asciiTheme="minorHAnsi" w:hAnsiTheme="minorHAnsi" w:cstheme="minorHAnsi"/>
          <w:b/>
          <w:bCs/>
          <w:color w:val="0000FF"/>
          <w:sz w:val="28"/>
          <w:szCs w:val="28"/>
          <w:u w:val="single"/>
        </w:rPr>
        <w:t>Cited Authorities</w:t>
      </w:r>
      <w:r w:rsidRPr="00DC38A4">
        <w:rPr>
          <w:rFonts w:asciiTheme="minorHAnsi" w:hAnsiTheme="minorHAnsi" w:cstheme="minorHAnsi"/>
          <w:sz w:val="28"/>
          <w:szCs w:val="28"/>
        </w:rPr>
        <w:t>:</w:t>
      </w:r>
    </w:p>
    <w:p w14:paraId="6364E33F" w14:textId="0BAAB894" w:rsidR="00871C7C" w:rsidRDefault="00AF6966" w:rsidP="00FA5F29">
      <w:pPr>
        <w:pStyle w:val="paragraph"/>
        <w:textAlignment w:val="baseline"/>
        <w:rPr>
          <w:rFonts w:asciiTheme="minorHAnsi" w:hAnsiTheme="minorHAnsi" w:cstheme="minorHAnsi"/>
        </w:rPr>
      </w:pPr>
      <w:r>
        <w:rPr>
          <w:rFonts w:asciiTheme="minorHAnsi" w:hAnsiTheme="minorHAnsi" w:cstheme="minorHAnsi"/>
        </w:rPr>
        <w:t>RPC 1.1</w:t>
      </w:r>
      <w:r w:rsidR="00871C7C">
        <w:rPr>
          <w:rFonts w:asciiTheme="minorHAnsi" w:hAnsiTheme="minorHAnsi" w:cstheme="minorHAnsi"/>
        </w:rPr>
        <w:t xml:space="preserve"> Competence</w:t>
      </w:r>
    </w:p>
    <w:p w14:paraId="296310AF" w14:textId="05F9C1A4" w:rsidR="00871C7C" w:rsidRDefault="00AF6966" w:rsidP="00FA5F29">
      <w:pPr>
        <w:pStyle w:val="paragraph"/>
        <w:textAlignment w:val="baseline"/>
        <w:rPr>
          <w:rFonts w:asciiTheme="minorHAnsi" w:hAnsiTheme="minorHAnsi" w:cstheme="minorHAnsi"/>
        </w:rPr>
      </w:pPr>
      <w:r>
        <w:rPr>
          <w:rFonts w:asciiTheme="minorHAnsi" w:hAnsiTheme="minorHAnsi" w:cstheme="minorHAnsi"/>
        </w:rPr>
        <w:t>RPC 1.3</w:t>
      </w:r>
      <w:r w:rsidR="00871C7C">
        <w:rPr>
          <w:rFonts w:asciiTheme="minorHAnsi" w:hAnsiTheme="minorHAnsi" w:cstheme="minorHAnsi"/>
        </w:rPr>
        <w:t xml:space="preserve"> Diligence</w:t>
      </w:r>
    </w:p>
    <w:p w14:paraId="4A3F4DA3" w14:textId="567B7D84" w:rsidR="002723A2" w:rsidRDefault="00871C7C" w:rsidP="00FA5F29">
      <w:pPr>
        <w:pStyle w:val="paragraph"/>
        <w:textAlignment w:val="baseline"/>
        <w:rPr>
          <w:rFonts w:asciiTheme="minorHAnsi" w:hAnsiTheme="minorHAnsi" w:cstheme="minorHAnsi"/>
        </w:rPr>
      </w:pPr>
      <w:r>
        <w:rPr>
          <w:rFonts w:asciiTheme="minorHAnsi" w:hAnsiTheme="minorHAnsi" w:cstheme="minorHAnsi"/>
        </w:rPr>
        <w:t xml:space="preserve">RPC </w:t>
      </w:r>
      <w:r w:rsidR="00E1613E">
        <w:rPr>
          <w:rFonts w:asciiTheme="minorHAnsi" w:hAnsiTheme="minorHAnsi" w:cstheme="minorHAnsi"/>
        </w:rPr>
        <w:t>3.2</w:t>
      </w:r>
      <w:r>
        <w:rPr>
          <w:rFonts w:asciiTheme="minorHAnsi" w:hAnsiTheme="minorHAnsi" w:cstheme="minorHAnsi"/>
        </w:rPr>
        <w:t xml:space="preserve"> Expediting Litigation</w:t>
      </w:r>
    </w:p>
    <w:p w14:paraId="5AA54D53" w14:textId="6468C888" w:rsidR="00E1613E" w:rsidRDefault="00800334" w:rsidP="00E74B15">
      <w:pPr>
        <w:pStyle w:val="paragraph"/>
        <w:textAlignment w:val="baseline"/>
        <w:rPr>
          <w:rFonts w:cstheme="minorHAnsi"/>
        </w:rPr>
      </w:pPr>
      <w:hyperlink r:id="rId8" w:history="1">
        <w:r w:rsidR="00E1613E" w:rsidRPr="00E1613E">
          <w:rPr>
            <w:rStyle w:val="Hyperlink"/>
            <w:rFonts w:cstheme="minorHAnsi"/>
            <w:i/>
            <w:iCs/>
            <w:color w:val="auto"/>
            <w:u w:val="none"/>
          </w:rPr>
          <w:t>State v. Linden</w:t>
        </w:r>
        <w:r w:rsidR="00E74B15" w:rsidRPr="00E74B15">
          <w:rPr>
            <w:rStyle w:val="Hyperlink"/>
            <w:rFonts w:cstheme="minorHAnsi"/>
            <w:color w:val="auto"/>
            <w:u w:val="none"/>
          </w:rPr>
          <w:t>,</w:t>
        </w:r>
        <w:r w:rsidR="00E1613E" w:rsidRPr="00E1613E">
          <w:rPr>
            <w:rStyle w:val="Hyperlink"/>
            <w:rFonts w:cstheme="minorHAnsi"/>
            <w:color w:val="auto"/>
            <w:u w:val="none"/>
          </w:rPr>
          <w:t xml:space="preserve"> 89 </w:t>
        </w:r>
      </w:hyperlink>
      <w:hyperlink r:id="rId9" w:history="1">
        <w:proofErr w:type="spellStart"/>
        <w:r w:rsidR="00E1613E" w:rsidRPr="00E1613E">
          <w:rPr>
            <w:rStyle w:val="Hyperlink"/>
            <w:rFonts w:cstheme="minorHAnsi"/>
            <w:color w:val="auto"/>
            <w:u w:val="none"/>
          </w:rPr>
          <w:t>W</w:t>
        </w:r>
        <w:r w:rsidR="00E74B15" w:rsidRPr="00E74B15">
          <w:rPr>
            <w:rStyle w:val="Hyperlink"/>
            <w:rFonts w:cstheme="minorHAnsi"/>
            <w:color w:val="auto"/>
            <w:u w:val="none"/>
          </w:rPr>
          <w:t>n</w:t>
        </w:r>
        <w:proofErr w:type="spellEnd"/>
        <w:r w:rsidR="00E74B15" w:rsidRPr="00E74B15">
          <w:rPr>
            <w:rStyle w:val="Hyperlink"/>
            <w:rFonts w:cstheme="minorHAnsi"/>
            <w:color w:val="auto"/>
            <w:u w:val="none"/>
          </w:rPr>
          <w:t xml:space="preserve">. </w:t>
        </w:r>
        <w:r w:rsidR="00E1613E" w:rsidRPr="00E1613E">
          <w:rPr>
            <w:rStyle w:val="Hyperlink"/>
            <w:rFonts w:cstheme="minorHAnsi"/>
            <w:color w:val="auto"/>
            <w:u w:val="none"/>
          </w:rPr>
          <w:t>App</w:t>
        </w:r>
      </w:hyperlink>
      <w:hyperlink r:id="rId10" w:history="1">
        <w:r w:rsidR="00E1613E" w:rsidRPr="00E1613E">
          <w:rPr>
            <w:rStyle w:val="Hyperlink"/>
            <w:rFonts w:cstheme="minorHAnsi"/>
            <w:color w:val="auto"/>
            <w:u w:val="none"/>
          </w:rPr>
          <w:t>. 184, 947 P.2d 1284</w:t>
        </w:r>
      </w:hyperlink>
      <w:r w:rsidR="00E74B15" w:rsidRPr="00E74B15">
        <w:rPr>
          <w:rFonts w:cstheme="minorHAnsi"/>
        </w:rPr>
        <w:t xml:space="preserve"> (1997)</w:t>
      </w:r>
      <w:r w:rsidR="00E1613E" w:rsidRPr="00E1613E">
        <w:rPr>
          <w:rFonts w:cstheme="minorHAnsi"/>
        </w:rPr>
        <w:t xml:space="preserve">, </w:t>
      </w:r>
      <w:r w:rsidR="00E1613E" w:rsidRPr="00E1613E">
        <w:rPr>
          <w:rFonts w:cstheme="minorHAnsi"/>
          <w:i/>
          <w:iCs/>
        </w:rPr>
        <w:t>reconsideration denied, review denied</w:t>
      </w:r>
      <w:r w:rsidR="00E1613E" w:rsidRPr="00E1613E">
        <w:rPr>
          <w:rFonts w:cstheme="minorHAnsi"/>
        </w:rPr>
        <w:t xml:space="preserve"> </w:t>
      </w:r>
      <w:hyperlink r:id="rId11" w:history="1">
        <w:r w:rsidR="00E1613E" w:rsidRPr="00E1613E">
          <w:rPr>
            <w:rStyle w:val="Hyperlink"/>
            <w:rFonts w:cstheme="minorHAnsi"/>
            <w:color w:val="auto"/>
            <w:u w:val="none"/>
          </w:rPr>
          <w:t>136 W</w:t>
        </w:r>
        <w:r w:rsidR="00E74B15" w:rsidRPr="00E74B15">
          <w:rPr>
            <w:rStyle w:val="Hyperlink"/>
            <w:rFonts w:cstheme="minorHAnsi"/>
            <w:color w:val="auto"/>
            <w:u w:val="none"/>
          </w:rPr>
          <w:t>n</w:t>
        </w:r>
        <w:r w:rsidR="00E1613E" w:rsidRPr="00E1613E">
          <w:rPr>
            <w:rStyle w:val="Hyperlink"/>
            <w:rFonts w:cstheme="minorHAnsi"/>
            <w:color w:val="auto"/>
            <w:u w:val="none"/>
          </w:rPr>
          <w:t>.2d 1018, 966 P.2d 1277</w:t>
        </w:r>
      </w:hyperlink>
      <w:r w:rsidR="00E1613E" w:rsidRPr="00E1613E">
        <w:rPr>
          <w:rFonts w:cstheme="minorHAnsi"/>
        </w:rPr>
        <w:t xml:space="preserve"> (discovery requirements apply to impeachment and rebuttal evidence too)</w:t>
      </w:r>
      <w:r w:rsidR="00A36080">
        <w:rPr>
          <w:rFonts w:cstheme="minorHAnsi"/>
        </w:rPr>
        <w:t>.</w:t>
      </w:r>
    </w:p>
    <w:p w14:paraId="6F280F7D" w14:textId="33C5E6B8" w:rsidR="00357C89" w:rsidRDefault="00357C89" w:rsidP="002F3AB6">
      <w:pPr>
        <w:shd w:val="clear" w:color="auto" w:fill="FFFFFF"/>
        <w:spacing w:after="0" w:line="240" w:lineRule="auto"/>
        <w:rPr>
          <w:rStyle w:val="Hyperlink"/>
          <w:rFonts w:ascii="Times New Roman" w:hAnsi="Times New Roman" w:cstheme="minorHAnsi"/>
          <w:color w:val="auto"/>
          <w:sz w:val="24"/>
          <w:szCs w:val="24"/>
          <w:u w:val="none"/>
        </w:rPr>
      </w:pPr>
      <w:r w:rsidRPr="00357C89">
        <w:rPr>
          <w:rStyle w:val="Hyperlink"/>
          <w:rFonts w:ascii="Times New Roman" w:hAnsi="Times New Roman" w:cstheme="minorHAnsi"/>
          <w:i/>
          <w:iCs/>
          <w:color w:val="auto"/>
          <w:sz w:val="24"/>
          <w:szCs w:val="24"/>
          <w:u w:val="none"/>
        </w:rPr>
        <w:t>State v. Jones</w:t>
      </w:r>
      <w:r w:rsidRPr="00357C89">
        <w:rPr>
          <w:rStyle w:val="Hyperlink"/>
          <w:rFonts w:ascii="Times New Roman" w:hAnsi="Times New Roman" w:cstheme="minorHAnsi"/>
          <w:color w:val="auto"/>
          <w:sz w:val="24"/>
          <w:szCs w:val="24"/>
          <w:u w:val="none"/>
        </w:rPr>
        <w:t>, 183 Wn.2d 327, 352 P.3d 776 (</w:t>
      </w:r>
      <w:proofErr w:type="gramStart"/>
      <w:r w:rsidRPr="00357C89">
        <w:rPr>
          <w:rStyle w:val="Hyperlink"/>
          <w:rFonts w:ascii="Times New Roman" w:hAnsi="Times New Roman" w:cstheme="minorHAnsi"/>
          <w:color w:val="auto"/>
          <w:sz w:val="24"/>
          <w:szCs w:val="24"/>
          <w:u w:val="none"/>
        </w:rPr>
        <w:t>2015)</w:t>
      </w:r>
      <w:r w:rsidR="002F3AB6">
        <w:rPr>
          <w:rStyle w:val="Hyperlink"/>
          <w:rFonts w:ascii="Times New Roman" w:hAnsi="Times New Roman" w:cstheme="minorHAnsi"/>
          <w:color w:val="auto"/>
          <w:sz w:val="24"/>
          <w:szCs w:val="24"/>
          <w:u w:val="none"/>
        </w:rPr>
        <w:t>(</w:t>
      </w:r>
      <w:proofErr w:type="gramEnd"/>
      <w:r w:rsidR="002F3AB6">
        <w:rPr>
          <w:rStyle w:val="Hyperlink"/>
          <w:rFonts w:ascii="Times New Roman" w:hAnsi="Times New Roman" w:cstheme="minorHAnsi"/>
          <w:color w:val="auto"/>
          <w:sz w:val="24"/>
          <w:szCs w:val="24"/>
          <w:u w:val="none"/>
        </w:rPr>
        <w:t>finding t</w:t>
      </w:r>
      <w:r w:rsidRPr="00357C89">
        <w:rPr>
          <w:rStyle w:val="Hyperlink"/>
          <w:rFonts w:ascii="Times New Roman" w:hAnsi="Times New Roman" w:cstheme="minorHAnsi"/>
          <w:color w:val="auto"/>
          <w:sz w:val="24"/>
          <w:szCs w:val="24"/>
          <w:u w:val="none"/>
        </w:rPr>
        <w:t>o discharge his or her duty to provide effective assistance, trial counsel must investigate the case, including by interviewing witnesses</w:t>
      </w:r>
      <w:r w:rsidR="002F3AB6">
        <w:rPr>
          <w:rStyle w:val="Hyperlink"/>
          <w:rFonts w:ascii="Times New Roman" w:hAnsi="Times New Roman" w:cstheme="minorHAnsi"/>
          <w:color w:val="auto"/>
          <w:sz w:val="24"/>
          <w:szCs w:val="24"/>
          <w:u w:val="none"/>
        </w:rPr>
        <w:t>); citing</w:t>
      </w:r>
      <w:r w:rsidRPr="00357C89">
        <w:rPr>
          <w:rStyle w:val="Hyperlink"/>
          <w:rFonts w:ascii="Times New Roman" w:hAnsi="Times New Roman" w:cstheme="minorHAnsi"/>
          <w:color w:val="auto"/>
          <w:sz w:val="24"/>
          <w:szCs w:val="24"/>
          <w:u w:val="none"/>
        </w:rPr>
        <w:t xml:space="preserve">. U.S.C.A. </w:t>
      </w:r>
      <w:proofErr w:type="spellStart"/>
      <w:r w:rsidRPr="00357C89">
        <w:rPr>
          <w:rStyle w:val="Hyperlink"/>
          <w:rFonts w:ascii="Times New Roman" w:hAnsi="Times New Roman" w:cstheme="minorHAnsi"/>
          <w:color w:val="auto"/>
          <w:sz w:val="24"/>
          <w:szCs w:val="24"/>
          <w:u w:val="none"/>
        </w:rPr>
        <w:t>Const.Amend</w:t>
      </w:r>
      <w:proofErr w:type="spellEnd"/>
      <w:r w:rsidRPr="00357C89">
        <w:rPr>
          <w:rStyle w:val="Hyperlink"/>
          <w:rFonts w:ascii="Times New Roman" w:hAnsi="Times New Roman" w:cstheme="minorHAnsi"/>
          <w:color w:val="auto"/>
          <w:sz w:val="24"/>
          <w:szCs w:val="24"/>
          <w:u w:val="none"/>
        </w:rPr>
        <w:t>. 6.</w:t>
      </w:r>
    </w:p>
    <w:p w14:paraId="34D47757" w14:textId="7D3B37E4" w:rsidR="001C18B9" w:rsidRPr="001C18B9" w:rsidRDefault="001C18B9" w:rsidP="001C18B9">
      <w:pPr>
        <w:pStyle w:val="ListParagraph"/>
        <w:numPr>
          <w:ilvl w:val="0"/>
          <w:numId w:val="4"/>
        </w:numPr>
        <w:shd w:val="clear" w:color="auto" w:fill="FFFFFF"/>
        <w:spacing w:after="0" w:line="240" w:lineRule="auto"/>
        <w:rPr>
          <w:rStyle w:val="Hyperlink"/>
          <w:rFonts w:ascii="Times New Roman" w:hAnsi="Times New Roman" w:cstheme="minorHAnsi"/>
          <w:color w:val="auto"/>
          <w:sz w:val="24"/>
          <w:szCs w:val="24"/>
          <w:u w:val="none"/>
        </w:rPr>
      </w:pPr>
      <w:r w:rsidRPr="001C18B9">
        <w:rPr>
          <w:rStyle w:val="Hyperlink"/>
          <w:rFonts w:ascii="Times New Roman" w:hAnsi="Times New Roman" w:cstheme="minorHAnsi"/>
          <w:color w:val="auto"/>
          <w:sz w:val="24"/>
          <w:szCs w:val="24"/>
          <w:u w:val="none"/>
        </w:rPr>
        <w:t>If there is a strategic decision to not interview certain witnesses, that may not be ineffective assistance of counsel.</w:t>
      </w:r>
    </w:p>
    <w:p w14:paraId="19112C13" w14:textId="42D48D06" w:rsidR="009C5273" w:rsidRDefault="009C5273" w:rsidP="002F3AB6">
      <w:pPr>
        <w:shd w:val="clear" w:color="auto" w:fill="FFFFFF"/>
        <w:spacing w:after="0" w:line="240" w:lineRule="auto"/>
        <w:rPr>
          <w:rStyle w:val="Hyperlink"/>
          <w:rFonts w:ascii="Times New Roman" w:hAnsi="Times New Roman" w:cstheme="minorHAnsi"/>
          <w:color w:val="auto"/>
          <w:sz w:val="24"/>
          <w:szCs w:val="24"/>
          <w:u w:val="none"/>
        </w:rPr>
      </w:pPr>
    </w:p>
    <w:p w14:paraId="47326EE2" w14:textId="22E1FAC6" w:rsidR="00976EF5" w:rsidRDefault="009C5273" w:rsidP="00976EF5">
      <w:pPr>
        <w:shd w:val="clear" w:color="auto" w:fill="FFFFFF"/>
        <w:spacing w:after="0" w:line="240" w:lineRule="auto"/>
        <w:rPr>
          <w:rFonts w:ascii="Times New Roman" w:eastAsia="Times New Roman" w:hAnsi="Times New Roman" w:cs="Times New Roman"/>
          <w:color w:val="000000"/>
          <w:sz w:val="24"/>
          <w:szCs w:val="24"/>
        </w:rPr>
      </w:pPr>
      <w:r w:rsidRPr="00976EF5">
        <w:rPr>
          <w:rFonts w:ascii="Times New Roman" w:eastAsia="Times New Roman" w:hAnsi="Times New Roman" w:cs="Times New Roman"/>
          <w:i/>
          <w:iCs/>
          <w:color w:val="000000"/>
          <w:sz w:val="24"/>
          <w:szCs w:val="24"/>
        </w:rPr>
        <w:t>In re Davis</w:t>
      </w:r>
      <w:r w:rsidRPr="00976EF5">
        <w:rPr>
          <w:rFonts w:ascii="Times New Roman" w:eastAsia="Times New Roman" w:hAnsi="Times New Roman" w:cs="Times New Roman"/>
          <w:color w:val="000000"/>
          <w:sz w:val="24"/>
          <w:szCs w:val="24"/>
        </w:rPr>
        <w:t>, 152 Wn.2d 647, 101 P.3d 1 (</w:t>
      </w:r>
      <w:proofErr w:type="gramStart"/>
      <w:r w:rsidRPr="00976EF5">
        <w:rPr>
          <w:rFonts w:ascii="Times New Roman" w:eastAsia="Times New Roman" w:hAnsi="Times New Roman" w:cs="Times New Roman"/>
          <w:color w:val="000000"/>
          <w:sz w:val="24"/>
          <w:szCs w:val="24"/>
        </w:rPr>
        <w:t>2004)</w:t>
      </w:r>
      <w:r w:rsidR="00976EF5" w:rsidRPr="00976EF5">
        <w:rPr>
          <w:rFonts w:ascii="Times New Roman" w:eastAsia="Times New Roman" w:hAnsi="Times New Roman" w:cs="Times New Roman"/>
          <w:color w:val="000000"/>
          <w:sz w:val="24"/>
          <w:szCs w:val="24"/>
        </w:rPr>
        <w:t>(</w:t>
      </w:r>
      <w:proofErr w:type="gramEnd"/>
      <w:r w:rsidR="00976EF5" w:rsidRPr="00976EF5">
        <w:rPr>
          <w:rFonts w:ascii="Times New Roman" w:eastAsia="Times New Roman" w:hAnsi="Times New Roman" w:cs="Times New Roman"/>
          <w:color w:val="000000"/>
          <w:sz w:val="24"/>
          <w:szCs w:val="24"/>
        </w:rPr>
        <w:t xml:space="preserve">finding </w:t>
      </w:r>
      <w:r w:rsidR="00976EF5" w:rsidRPr="00976EF5">
        <w:rPr>
          <w:rFonts w:ascii="Times New Roman" w:eastAsia="Times New Roman" w:hAnsi="Times New Roman" w:cs="Times New Roman"/>
          <w:color w:val="000000"/>
          <w:sz w:val="24"/>
          <w:szCs w:val="24"/>
          <w:shd w:val="clear" w:color="auto" w:fill="FFFFFF"/>
        </w:rPr>
        <w:t>d</w:t>
      </w:r>
      <w:r w:rsidR="00976EF5" w:rsidRPr="00976EF5">
        <w:rPr>
          <w:rFonts w:ascii="Times New Roman" w:eastAsia="Times New Roman" w:hAnsi="Times New Roman" w:cs="Times New Roman"/>
          <w:color w:val="000000"/>
          <w:sz w:val="24"/>
          <w:szCs w:val="24"/>
          <w:shd w:val="clear" w:color="auto" w:fill="FFFFFF"/>
        </w:rPr>
        <w:t>efense</w:t>
      </w:r>
      <w:r w:rsidR="00976EF5" w:rsidRPr="00976EF5">
        <w:rPr>
          <w:rFonts w:ascii="Times New Roman" w:eastAsia="Times New Roman" w:hAnsi="Times New Roman" w:cs="Times New Roman"/>
          <w:color w:val="000000"/>
          <w:sz w:val="24"/>
          <w:szCs w:val="24"/>
        </w:rPr>
        <w:t xml:space="preserve"> counsel's </w:t>
      </w:r>
      <w:r w:rsidR="00976EF5" w:rsidRPr="00976EF5">
        <w:rPr>
          <w:rFonts w:ascii="Times New Roman" w:eastAsia="Times New Roman" w:hAnsi="Times New Roman" w:cs="Times New Roman"/>
          <w:color w:val="000000"/>
          <w:sz w:val="24"/>
          <w:szCs w:val="24"/>
          <w:shd w:val="clear" w:color="auto" w:fill="FFFFFF"/>
        </w:rPr>
        <w:t>duty</w:t>
      </w:r>
      <w:r w:rsidR="00976EF5" w:rsidRPr="00976EF5">
        <w:rPr>
          <w:rFonts w:ascii="Times New Roman" w:eastAsia="Times New Roman" w:hAnsi="Times New Roman" w:cs="Times New Roman"/>
          <w:color w:val="000000"/>
          <w:sz w:val="24"/>
          <w:szCs w:val="24"/>
        </w:rPr>
        <w:t xml:space="preserve"> </w:t>
      </w:r>
      <w:r w:rsidR="00976EF5" w:rsidRPr="00976EF5">
        <w:rPr>
          <w:rFonts w:ascii="Times New Roman" w:eastAsia="Times New Roman" w:hAnsi="Times New Roman" w:cs="Times New Roman"/>
          <w:color w:val="000000"/>
          <w:sz w:val="24"/>
          <w:szCs w:val="24"/>
          <w:shd w:val="clear" w:color="auto" w:fill="FFFFFF"/>
        </w:rPr>
        <w:t>to</w:t>
      </w:r>
      <w:r w:rsidR="00976EF5" w:rsidRPr="00976EF5">
        <w:rPr>
          <w:rFonts w:ascii="Times New Roman" w:eastAsia="Times New Roman" w:hAnsi="Times New Roman" w:cs="Times New Roman"/>
          <w:color w:val="000000"/>
          <w:sz w:val="24"/>
          <w:szCs w:val="24"/>
        </w:rPr>
        <w:t xml:space="preserve"> investigate does not</w:t>
      </w:r>
      <w:r w:rsidR="00976EF5" w:rsidRPr="00976EF5">
        <w:rPr>
          <w:rFonts w:ascii="Times New Roman" w:eastAsia="Times New Roman" w:hAnsi="Times New Roman" w:cs="Times New Roman"/>
          <w:b/>
          <w:bCs/>
          <w:color w:val="000000"/>
          <w:sz w:val="24"/>
          <w:szCs w:val="24"/>
        </w:rPr>
        <w:t xml:space="preserve"> </w:t>
      </w:r>
      <w:r w:rsidR="00976EF5" w:rsidRPr="00976EF5">
        <w:rPr>
          <w:rFonts w:ascii="Times New Roman" w:eastAsia="Times New Roman" w:hAnsi="Times New Roman" w:cs="Times New Roman"/>
          <w:color w:val="000000"/>
          <w:sz w:val="24"/>
          <w:szCs w:val="24"/>
        </w:rPr>
        <w:t xml:space="preserve">necessarily require that every conceivable witness be </w:t>
      </w:r>
      <w:r w:rsidR="00976EF5" w:rsidRPr="00976EF5">
        <w:rPr>
          <w:rFonts w:ascii="Times New Roman" w:eastAsia="Times New Roman" w:hAnsi="Times New Roman" w:cs="Times New Roman"/>
          <w:color w:val="000000"/>
          <w:sz w:val="24"/>
          <w:szCs w:val="24"/>
          <w:shd w:val="clear" w:color="auto" w:fill="FFFFFF"/>
        </w:rPr>
        <w:t>interviewed</w:t>
      </w:r>
      <w:r w:rsidR="00A36080">
        <w:rPr>
          <w:rFonts w:ascii="Times New Roman" w:eastAsia="Times New Roman" w:hAnsi="Times New Roman" w:cs="Times New Roman"/>
          <w:color w:val="000000"/>
          <w:sz w:val="24"/>
          <w:szCs w:val="24"/>
          <w:shd w:val="clear" w:color="auto" w:fill="FFFFFF"/>
        </w:rPr>
        <w:t>)</w:t>
      </w:r>
      <w:r w:rsidR="00976EF5" w:rsidRPr="00976EF5">
        <w:rPr>
          <w:rFonts w:ascii="Times New Roman" w:eastAsia="Times New Roman" w:hAnsi="Times New Roman" w:cs="Times New Roman"/>
          <w:color w:val="000000"/>
          <w:sz w:val="24"/>
          <w:szCs w:val="24"/>
        </w:rPr>
        <w:t>.</w:t>
      </w:r>
    </w:p>
    <w:p w14:paraId="7F4BCF7C" w14:textId="1A63BB4A" w:rsidR="001830CE" w:rsidRDefault="001830CE" w:rsidP="00976EF5">
      <w:pPr>
        <w:shd w:val="clear" w:color="auto" w:fill="FFFFFF"/>
        <w:spacing w:after="0" w:line="240" w:lineRule="auto"/>
        <w:rPr>
          <w:rFonts w:ascii="Times New Roman" w:eastAsia="Times New Roman" w:hAnsi="Times New Roman" w:cs="Times New Roman"/>
          <w:color w:val="000000"/>
          <w:sz w:val="24"/>
          <w:szCs w:val="24"/>
        </w:rPr>
      </w:pPr>
    </w:p>
    <w:p w14:paraId="5B3437C7" w14:textId="525E50F3" w:rsidR="001830CE" w:rsidRDefault="001830CE" w:rsidP="000114FC">
      <w:pPr>
        <w:shd w:val="clear" w:color="auto" w:fill="FFFFFF"/>
        <w:spacing w:after="0" w:line="240" w:lineRule="auto"/>
        <w:rPr>
          <w:rFonts w:ascii="Times New Roman" w:eastAsia="Times New Roman" w:hAnsi="Times New Roman" w:cs="Times New Roman"/>
          <w:color w:val="000000"/>
          <w:sz w:val="24"/>
          <w:szCs w:val="24"/>
        </w:rPr>
      </w:pPr>
      <w:r w:rsidRPr="000114FC">
        <w:rPr>
          <w:rFonts w:ascii="Times New Roman" w:eastAsia="Times New Roman" w:hAnsi="Times New Roman" w:cs="Times New Roman"/>
          <w:i/>
          <w:iCs/>
          <w:color w:val="000000"/>
          <w:sz w:val="24"/>
          <w:szCs w:val="24"/>
        </w:rPr>
        <w:t xml:space="preserve">State v. </w:t>
      </w:r>
      <w:proofErr w:type="spellStart"/>
      <w:r w:rsidRPr="000114FC">
        <w:rPr>
          <w:rFonts w:ascii="Times New Roman" w:eastAsia="Times New Roman" w:hAnsi="Times New Roman" w:cs="Times New Roman"/>
          <w:i/>
          <w:iCs/>
          <w:color w:val="000000"/>
          <w:sz w:val="24"/>
          <w:szCs w:val="24"/>
        </w:rPr>
        <w:t>Burri</w:t>
      </w:r>
      <w:proofErr w:type="spellEnd"/>
      <w:r w:rsidRPr="000114FC">
        <w:rPr>
          <w:rFonts w:ascii="Times New Roman" w:eastAsia="Times New Roman" w:hAnsi="Times New Roman" w:cs="Times New Roman"/>
          <w:color w:val="000000"/>
          <w:sz w:val="24"/>
          <w:szCs w:val="24"/>
        </w:rPr>
        <w:t>, 87 Wn.2d 175, 181, 550 P.2d 507, 512 (</w:t>
      </w:r>
      <w:proofErr w:type="gramStart"/>
      <w:r w:rsidRPr="000114FC">
        <w:rPr>
          <w:rFonts w:ascii="Times New Roman" w:eastAsia="Times New Roman" w:hAnsi="Times New Roman" w:cs="Times New Roman"/>
          <w:color w:val="000000"/>
          <w:sz w:val="24"/>
          <w:szCs w:val="24"/>
        </w:rPr>
        <w:t>1976)</w:t>
      </w:r>
      <w:r w:rsidR="000114FC" w:rsidRPr="000114FC">
        <w:rPr>
          <w:rFonts w:ascii="Times New Roman" w:eastAsia="Times New Roman" w:hAnsi="Times New Roman" w:cs="Times New Roman"/>
          <w:color w:val="000000"/>
          <w:sz w:val="24"/>
          <w:szCs w:val="24"/>
        </w:rPr>
        <w:t>(</w:t>
      </w:r>
      <w:proofErr w:type="gramEnd"/>
      <w:r w:rsidR="000114FC" w:rsidRPr="000114FC">
        <w:rPr>
          <w:rFonts w:ascii="Times New Roman" w:eastAsia="Times New Roman" w:hAnsi="Times New Roman" w:cs="Times New Roman"/>
          <w:color w:val="000000"/>
          <w:sz w:val="24"/>
          <w:szCs w:val="24"/>
        </w:rPr>
        <w:t>defendant has a right to compulsory process including pretrial interviews)</w:t>
      </w:r>
      <w:r w:rsidR="00A36080">
        <w:rPr>
          <w:rFonts w:ascii="Times New Roman" w:eastAsia="Times New Roman" w:hAnsi="Times New Roman" w:cs="Times New Roman"/>
          <w:color w:val="000000"/>
          <w:sz w:val="24"/>
          <w:szCs w:val="24"/>
        </w:rPr>
        <w:t>.</w:t>
      </w:r>
    </w:p>
    <w:p w14:paraId="7F14C771" w14:textId="5A3C300A" w:rsidR="001830CE" w:rsidRPr="007401CC" w:rsidRDefault="00C53950" w:rsidP="00976EF5">
      <w:pPr>
        <w:shd w:val="clear" w:color="auto" w:fill="FFFFFF"/>
        <w:spacing w:after="0" w:line="240" w:lineRule="auto"/>
        <w:rPr>
          <w:rFonts w:ascii="Times New Roman" w:eastAsia="Times New Roman" w:hAnsi="Times New Roman" w:cs="Times New Roman"/>
          <w:color w:val="000000"/>
          <w:sz w:val="24"/>
          <w:szCs w:val="24"/>
        </w:rPr>
      </w:pPr>
      <w:r w:rsidRPr="007401CC">
        <w:rPr>
          <w:rFonts w:ascii="Times New Roman" w:eastAsia="Times New Roman" w:hAnsi="Times New Roman" w:cs="Times New Roman"/>
          <w:i/>
          <w:iCs/>
          <w:color w:val="000000"/>
          <w:sz w:val="24"/>
          <w:szCs w:val="24"/>
        </w:rPr>
        <w:lastRenderedPageBreak/>
        <w:t>State v. Daniels</w:t>
      </w:r>
      <w:r w:rsidRPr="007401CC">
        <w:rPr>
          <w:rFonts w:ascii="Times New Roman" w:eastAsia="Times New Roman" w:hAnsi="Times New Roman" w:cs="Times New Roman"/>
          <w:color w:val="000000"/>
          <w:sz w:val="24"/>
          <w:szCs w:val="24"/>
        </w:rPr>
        <w:t xml:space="preserve">, 153 </w:t>
      </w:r>
      <w:proofErr w:type="spellStart"/>
      <w:r w:rsidRPr="007401CC">
        <w:rPr>
          <w:rFonts w:ascii="Times New Roman" w:eastAsia="Times New Roman" w:hAnsi="Times New Roman" w:cs="Times New Roman"/>
          <w:color w:val="000000"/>
          <w:sz w:val="24"/>
          <w:szCs w:val="24"/>
        </w:rPr>
        <w:t>Wn</w:t>
      </w:r>
      <w:proofErr w:type="spellEnd"/>
      <w:r w:rsidRPr="007401CC">
        <w:rPr>
          <w:rFonts w:ascii="Times New Roman" w:eastAsia="Times New Roman" w:hAnsi="Times New Roman" w:cs="Times New Roman"/>
          <w:color w:val="000000"/>
          <w:sz w:val="24"/>
          <w:szCs w:val="24"/>
        </w:rPr>
        <w:t>. App. 1030 (</w:t>
      </w:r>
      <w:proofErr w:type="gramStart"/>
      <w:r w:rsidRPr="007401CC">
        <w:rPr>
          <w:rFonts w:ascii="Times New Roman" w:eastAsia="Times New Roman" w:hAnsi="Times New Roman" w:cs="Times New Roman"/>
          <w:color w:val="000000"/>
          <w:sz w:val="24"/>
          <w:szCs w:val="24"/>
        </w:rPr>
        <w:t>2009)(</w:t>
      </w:r>
      <w:proofErr w:type="gramEnd"/>
      <w:r w:rsidRPr="007401CC">
        <w:rPr>
          <w:rFonts w:ascii="Times New Roman" w:eastAsia="Times New Roman" w:hAnsi="Times New Roman" w:cs="Times New Roman"/>
          <w:color w:val="000000"/>
          <w:sz w:val="24"/>
          <w:szCs w:val="24"/>
        </w:rPr>
        <w:t>unpublished, too old to cite)</w:t>
      </w:r>
      <w:r w:rsidR="006A104C" w:rsidRPr="007401CC">
        <w:rPr>
          <w:rFonts w:ascii="Times New Roman" w:eastAsia="Times New Roman" w:hAnsi="Times New Roman" w:cs="Times New Roman"/>
          <w:color w:val="000000"/>
          <w:sz w:val="24"/>
          <w:szCs w:val="24"/>
        </w:rPr>
        <w:t>(</w:t>
      </w:r>
      <w:r w:rsidRPr="007401CC">
        <w:rPr>
          <w:rFonts w:ascii="Times New Roman" w:eastAsia="Times New Roman" w:hAnsi="Times New Roman" w:cs="Times New Roman"/>
          <w:color w:val="000000"/>
          <w:sz w:val="24"/>
          <w:szCs w:val="24"/>
        </w:rPr>
        <w:t xml:space="preserve">cites </w:t>
      </w:r>
      <w:r w:rsidR="006A104C" w:rsidRPr="007401CC">
        <w:rPr>
          <w:rFonts w:ascii="Times New Roman" w:eastAsia="Times New Roman" w:hAnsi="Times New Roman" w:cs="Times New Roman"/>
          <w:i/>
          <w:iCs/>
          <w:color w:val="000000"/>
          <w:sz w:val="24"/>
          <w:szCs w:val="24"/>
        </w:rPr>
        <w:t>State v. Hofstetter</w:t>
      </w:r>
      <w:r w:rsidR="006A104C" w:rsidRPr="007401CC">
        <w:rPr>
          <w:rFonts w:ascii="Times New Roman" w:eastAsia="Times New Roman" w:hAnsi="Times New Roman" w:cs="Times New Roman"/>
          <w:color w:val="000000"/>
          <w:sz w:val="24"/>
          <w:szCs w:val="24"/>
        </w:rPr>
        <w:t xml:space="preserve">, 75 </w:t>
      </w:r>
      <w:proofErr w:type="spellStart"/>
      <w:r w:rsidR="006A104C" w:rsidRPr="007401CC">
        <w:rPr>
          <w:rFonts w:ascii="Times New Roman" w:eastAsia="Times New Roman" w:hAnsi="Times New Roman" w:cs="Times New Roman"/>
          <w:color w:val="000000"/>
          <w:sz w:val="24"/>
          <w:szCs w:val="24"/>
        </w:rPr>
        <w:t>Wn</w:t>
      </w:r>
      <w:proofErr w:type="spellEnd"/>
      <w:r w:rsidR="006A104C" w:rsidRPr="007401CC">
        <w:rPr>
          <w:rFonts w:ascii="Times New Roman" w:eastAsia="Times New Roman" w:hAnsi="Times New Roman" w:cs="Times New Roman"/>
          <w:color w:val="000000"/>
          <w:sz w:val="24"/>
          <w:szCs w:val="24"/>
        </w:rPr>
        <w:t>. App. 390, 397, 402, 878 P.2d 474 (1994</w:t>
      </w:r>
      <w:proofErr w:type="gramStart"/>
      <w:r w:rsidR="006A104C" w:rsidRPr="007401CC">
        <w:rPr>
          <w:rFonts w:ascii="Times New Roman" w:eastAsia="Times New Roman" w:hAnsi="Times New Roman" w:cs="Times New Roman"/>
          <w:color w:val="000000"/>
          <w:sz w:val="24"/>
          <w:szCs w:val="24"/>
        </w:rPr>
        <w:t>)</w:t>
      </w:r>
      <w:r w:rsidR="006A104C" w:rsidRPr="007401CC">
        <w:rPr>
          <w:rFonts w:ascii="Times New Roman" w:eastAsia="Times New Roman" w:hAnsi="Times New Roman" w:cs="Times New Roman"/>
          <w:color w:val="000000"/>
          <w:sz w:val="24"/>
          <w:szCs w:val="24"/>
        </w:rPr>
        <w:t>)(</w:t>
      </w:r>
      <w:proofErr w:type="gramEnd"/>
      <w:r w:rsidR="009D3AD1" w:rsidRPr="007401CC">
        <w:rPr>
          <w:rFonts w:ascii="Times New Roman" w:eastAsia="Times New Roman" w:hAnsi="Times New Roman" w:cs="Times New Roman"/>
          <w:color w:val="000000"/>
          <w:sz w:val="24"/>
          <w:szCs w:val="24"/>
        </w:rPr>
        <w:t>compulsory right to interview for defendant co-exists with the witness’ right to refuse to be interviewed).</w:t>
      </w:r>
    </w:p>
    <w:p w14:paraId="520BD802" w14:textId="2B6A9F8B" w:rsidR="006E11AE" w:rsidRDefault="006E11AE" w:rsidP="00976EF5">
      <w:pPr>
        <w:shd w:val="clear" w:color="auto" w:fill="FFFFFF"/>
        <w:spacing w:after="0" w:line="240" w:lineRule="auto"/>
        <w:rPr>
          <w:rFonts w:ascii="Arial" w:eastAsia="Times New Roman" w:hAnsi="Arial" w:cs="Arial"/>
          <w:color w:val="000000"/>
          <w:sz w:val="24"/>
          <w:szCs w:val="24"/>
        </w:rPr>
      </w:pPr>
    </w:p>
    <w:p w14:paraId="00F709E1" w14:textId="646486A9" w:rsidR="006E11AE" w:rsidRDefault="006E11AE" w:rsidP="006E11AE">
      <w:pPr>
        <w:shd w:val="clear" w:color="auto" w:fill="FFFFFF"/>
        <w:spacing w:after="0" w:line="240" w:lineRule="auto"/>
        <w:rPr>
          <w:rFonts w:ascii="Times New Roman" w:eastAsia="Times New Roman" w:hAnsi="Times New Roman" w:cs="Times New Roman"/>
          <w:color w:val="000000"/>
          <w:sz w:val="24"/>
          <w:szCs w:val="24"/>
        </w:rPr>
      </w:pPr>
      <w:r w:rsidRPr="006E11AE">
        <w:rPr>
          <w:rFonts w:ascii="Times New Roman" w:eastAsia="Times New Roman" w:hAnsi="Times New Roman" w:cs="Times New Roman"/>
          <w:i/>
          <w:iCs/>
          <w:color w:val="000000"/>
          <w:sz w:val="24"/>
          <w:szCs w:val="24"/>
        </w:rPr>
        <w:t>State v. Clark,</w:t>
      </w:r>
      <w:r w:rsidRPr="006E11AE">
        <w:rPr>
          <w:rFonts w:ascii="Times New Roman" w:eastAsia="Times New Roman" w:hAnsi="Times New Roman" w:cs="Times New Roman"/>
          <w:color w:val="000000"/>
          <w:sz w:val="24"/>
          <w:szCs w:val="24"/>
        </w:rPr>
        <w:t xml:space="preserve"> 53 </w:t>
      </w:r>
      <w:proofErr w:type="spellStart"/>
      <w:r w:rsidRPr="006E11AE">
        <w:rPr>
          <w:rFonts w:ascii="Times New Roman" w:eastAsia="Times New Roman" w:hAnsi="Times New Roman" w:cs="Times New Roman"/>
          <w:color w:val="000000"/>
          <w:sz w:val="24"/>
          <w:szCs w:val="24"/>
        </w:rPr>
        <w:t>Wn</w:t>
      </w:r>
      <w:proofErr w:type="spellEnd"/>
      <w:r w:rsidRPr="006E11AE">
        <w:rPr>
          <w:rFonts w:ascii="Times New Roman" w:eastAsia="Times New Roman" w:hAnsi="Times New Roman" w:cs="Times New Roman"/>
          <w:color w:val="000000"/>
          <w:sz w:val="24"/>
          <w:szCs w:val="24"/>
        </w:rPr>
        <w:t>. App. 120, 124, 765 P.2d 916 (</w:t>
      </w:r>
      <w:proofErr w:type="gramStart"/>
      <w:r w:rsidRPr="006E11AE">
        <w:rPr>
          <w:rFonts w:ascii="Times New Roman" w:eastAsia="Times New Roman" w:hAnsi="Times New Roman" w:cs="Times New Roman"/>
          <w:color w:val="000000"/>
          <w:sz w:val="24"/>
          <w:szCs w:val="24"/>
        </w:rPr>
        <w:t>1988)</w:t>
      </w:r>
      <w:r>
        <w:rPr>
          <w:rFonts w:ascii="Times New Roman" w:eastAsia="Times New Roman" w:hAnsi="Times New Roman" w:cs="Times New Roman"/>
          <w:color w:val="000000"/>
          <w:sz w:val="24"/>
          <w:szCs w:val="24"/>
        </w:rPr>
        <w:t>(</w:t>
      </w:r>
      <w:proofErr w:type="gramEnd"/>
      <w:r w:rsidR="00DF1D86">
        <w:rPr>
          <w:rFonts w:ascii="Times New Roman" w:eastAsia="Times New Roman" w:hAnsi="Times New Roman" w:cs="Times New Roman"/>
          <w:color w:val="000000"/>
          <w:sz w:val="24"/>
          <w:szCs w:val="24"/>
        </w:rPr>
        <w:t>a right to an interview does not mean a right to a successful interview).</w:t>
      </w:r>
    </w:p>
    <w:p w14:paraId="7F8EEE69" w14:textId="295D3D5D" w:rsidR="008F7E77" w:rsidRDefault="008F7E77" w:rsidP="006E11AE">
      <w:pPr>
        <w:shd w:val="clear" w:color="auto" w:fill="FFFFFF"/>
        <w:spacing w:after="0" w:line="240" w:lineRule="auto"/>
        <w:rPr>
          <w:rFonts w:ascii="Times New Roman" w:eastAsia="Times New Roman" w:hAnsi="Times New Roman" w:cs="Times New Roman"/>
          <w:color w:val="000000"/>
          <w:sz w:val="24"/>
          <w:szCs w:val="24"/>
        </w:rPr>
      </w:pPr>
    </w:p>
    <w:p w14:paraId="7907DF24" w14:textId="307CC6C6" w:rsidR="008F7E77" w:rsidRPr="00030BCD" w:rsidRDefault="00593A5F" w:rsidP="006E11AE">
      <w:pPr>
        <w:shd w:val="clear" w:color="auto" w:fill="FFFFFF"/>
        <w:spacing w:after="0" w:line="240" w:lineRule="auto"/>
        <w:rPr>
          <w:rFonts w:ascii="Times New Roman" w:eastAsia="Times New Roman" w:hAnsi="Times New Roman" w:cs="Times New Roman"/>
          <w:i/>
          <w:iCs/>
          <w:color w:val="000000"/>
          <w:sz w:val="24"/>
          <w:szCs w:val="24"/>
        </w:rPr>
      </w:pPr>
      <w:r w:rsidRPr="00030BCD">
        <w:rPr>
          <w:rFonts w:ascii="Times New Roman" w:eastAsia="Times New Roman" w:hAnsi="Times New Roman" w:cs="Times New Roman"/>
          <w:i/>
          <w:iCs/>
          <w:color w:val="000000"/>
          <w:sz w:val="24"/>
          <w:szCs w:val="24"/>
        </w:rPr>
        <w:t>State v. Hofstetter</w:t>
      </w:r>
      <w:r w:rsidRPr="00030BCD">
        <w:rPr>
          <w:rFonts w:ascii="Times New Roman" w:eastAsia="Times New Roman" w:hAnsi="Times New Roman" w:cs="Times New Roman"/>
          <w:color w:val="000000"/>
          <w:sz w:val="24"/>
          <w:szCs w:val="24"/>
        </w:rPr>
        <w:t xml:space="preserve">, 75 </w:t>
      </w:r>
      <w:proofErr w:type="spellStart"/>
      <w:r w:rsidRPr="00030BCD">
        <w:rPr>
          <w:rFonts w:ascii="Times New Roman" w:eastAsia="Times New Roman" w:hAnsi="Times New Roman" w:cs="Times New Roman"/>
          <w:color w:val="000000"/>
          <w:sz w:val="24"/>
          <w:szCs w:val="24"/>
        </w:rPr>
        <w:t>Wn</w:t>
      </w:r>
      <w:proofErr w:type="spellEnd"/>
      <w:r w:rsidRPr="00030BCD">
        <w:rPr>
          <w:rFonts w:ascii="Times New Roman" w:eastAsia="Times New Roman" w:hAnsi="Times New Roman" w:cs="Times New Roman"/>
          <w:color w:val="000000"/>
          <w:sz w:val="24"/>
          <w:szCs w:val="24"/>
        </w:rPr>
        <w:t xml:space="preserve">. App. 390, 397, 402, 878 P.2d 474 (1994), </w:t>
      </w:r>
      <w:r w:rsidRPr="00030BCD">
        <w:rPr>
          <w:rFonts w:ascii="Times New Roman" w:eastAsia="Times New Roman" w:hAnsi="Times New Roman" w:cs="Times New Roman"/>
          <w:i/>
          <w:iCs/>
          <w:color w:val="000000"/>
          <w:sz w:val="24"/>
          <w:szCs w:val="24"/>
        </w:rPr>
        <w:t>3.1.</w:t>
      </w:r>
    </w:p>
    <w:p w14:paraId="0BE08862" w14:textId="79B816BD" w:rsidR="00030BCD" w:rsidRPr="00030BCD" w:rsidRDefault="00030BCD" w:rsidP="00030BCD">
      <w:pPr>
        <w:pStyle w:val="ListParagraph"/>
        <w:numPr>
          <w:ilvl w:val="0"/>
          <w:numId w:val="4"/>
        </w:numPr>
        <w:shd w:val="clear" w:color="auto" w:fill="FFFFFF"/>
        <w:spacing w:after="0" w:line="240" w:lineRule="auto"/>
        <w:rPr>
          <w:rFonts w:ascii="Times New Roman" w:eastAsia="Times New Roman" w:hAnsi="Times New Roman" w:cs="Times New Roman"/>
          <w:color w:val="000000"/>
          <w:sz w:val="24"/>
          <w:szCs w:val="24"/>
        </w:rPr>
      </w:pPr>
      <w:r w:rsidRPr="00030BCD">
        <w:rPr>
          <w:rFonts w:ascii="Times New Roman" w:eastAsia="Times New Roman" w:hAnsi="Times New Roman" w:cs="Times New Roman"/>
          <w:color w:val="000000"/>
          <w:sz w:val="24"/>
          <w:szCs w:val="24"/>
        </w:rPr>
        <w:t>State cannot advise witnesses not to speak to defense without prosecutor present</w:t>
      </w:r>
      <w:r w:rsidR="0030160C">
        <w:rPr>
          <w:rFonts w:ascii="Times New Roman" w:eastAsia="Times New Roman" w:hAnsi="Times New Roman" w:cs="Times New Roman"/>
          <w:color w:val="000000"/>
          <w:sz w:val="24"/>
          <w:szCs w:val="24"/>
        </w:rPr>
        <w:t>.</w:t>
      </w:r>
    </w:p>
    <w:p w14:paraId="3FDCD9EA" w14:textId="77777777" w:rsidR="00030BCD" w:rsidRPr="00030BCD" w:rsidRDefault="00030BCD" w:rsidP="00030BCD">
      <w:pPr>
        <w:pStyle w:val="ListParagraph"/>
        <w:numPr>
          <w:ilvl w:val="0"/>
          <w:numId w:val="4"/>
        </w:numPr>
        <w:shd w:val="clear" w:color="auto" w:fill="FFFFFF"/>
        <w:spacing w:after="0" w:line="240" w:lineRule="auto"/>
        <w:rPr>
          <w:rFonts w:ascii="Times New Roman" w:eastAsia="Times New Roman" w:hAnsi="Times New Roman" w:cs="Times New Roman"/>
          <w:color w:val="000000"/>
          <w:sz w:val="24"/>
          <w:szCs w:val="24"/>
        </w:rPr>
      </w:pPr>
      <w:r w:rsidRPr="00030BCD">
        <w:rPr>
          <w:rFonts w:ascii="Times New Roman" w:eastAsia="Times New Roman" w:hAnsi="Times New Roman" w:cs="Times New Roman"/>
          <w:color w:val="000000"/>
          <w:sz w:val="24"/>
          <w:szCs w:val="24"/>
        </w:rPr>
        <w:t xml:space="preserve">ABA Standards for Criminal Justice “a prosecutor should not discourage or obstruct communication between prospective witnesses and defense counsel. </w:t>
      </w:r>
    </w:p>
    <w:p w14:paraId="3DE26C0D" w14:textId="77777777" w:rsidR="00030BCD" w:rsidRPr="00030BCD" w:rsidRDefault="00030BCD" w:rsidP="00030BCD">
      <w:pPr>
        <w:pStyle w:val="ListParagraph"/>
        <w:shd w:val="clear" w:color="auto" w:fill="FFFFFF"/>
        <w:spacing w:after="0" w:line="240" w:lineRule="auto"/>
        <w:rPr>
          <w:rFonts w:ascii="Times New Roman" w:eastAsia="Times New Roman" w:hAnsi="Times New Roman" w:cs="Times New Roman"/>
          <w:color w:val="000000"/>
          <w:sz w:val="24"/>
          <w:szCs w:val="24"/>
        </w:rPr>
      </w:pPr>
    </w:p>
    <w:p w14:paraId="5A2E87BA" w14:textId="109CD085" w:rsidR="00661387" w:rsidRDefault="00661387" w:rsidP="00661387">
      <w:pPr>
        <w:shd w:val="clear" w:color="auto" w:fill="FFFFFF"/>
        <w:spacing w:after="0" w:line="240" w:lineRule="auto"/>
        <w:rPr>
          <w:rFonts w:ascii="Times New Roman" w:eastAsia="Times New Roman" w:hAnsi="Times New Roman" w:cs="Times New Roman"/>
          <w:color w:val="000000"/>
          <w:sz w:val="24"/>
          <w:szCs w:val="24"/>
        </w:rPr>
      </w:pPr>
      <w:r w:rsidRPr="00661387">
        <w:rPr>
          <w:rFonts w:ascii="Times New Roman" w:eastAsia="Times New Roman" w:hAnsi="Times New Roman" w:cs="Times New Roman"/>
          <w:i/>
          <w:iCs/>
          <w:color w:val="000000"/>
          <w:sz w:val="24"/>
          <w:szCs w:val="24"/>
        </w:rPr>
        <w:t xml:space="preserve">State v. </w:t>
      </w:r>
      <w:proofErr w:type="spellStart"/>
      <w:r w:rsidRPr="00661387">
        <w:rPr>
          <w:rFonts w:ascii="Times New Roman" w:eastAsia="Times New Roman" w:hAnsi="Times New Roman" w:cs="Times New Roman"/>
          <w:i/>
          <w:iCs/>
          <w:color w:val="000000"/>
          <w:sz w:val="24"/>
          <w:szCs w:val="24"/>
        </w:rPr>
        <w:t>Mankin</w:t>
      </w:r>
      <w:proofErr w:type="spellEnd"/>
      <w:r w:rsidRPr="00661387">
        <w:rPr>
          <w:rFonts w:ascii="Times New Roman" w:eastAsia="Times New Roman" w:hAnsi="Times New Roman" w:cs="Times New Roman"/>
          <w:color w:val="000000"/>
          <w:sz w:val="24"/>
          <w:szCs w:val="24"/>
        </w:rPr>
        <w:t xml:space="preserve">, 158 </w:t>
      </w:r>
      <w:proofErr w:type="spellStart"/>
      <w:r w:rsidRPr="00661387">
        <w:rPr>
          <w:rFonts w:ascii="Times New Roman" w:eastAsia="Times New Roman" w:hAnsi="Times New Roman" w:cs="Times New Roman"/>
          <w:color w:val="000000"/>
          <w:sz w:val="24"/>
          <w:szCs w:val="24"/>
        </w:rPr>
        <w:t>Wn</w:t>
      </w:r>
      <w:proofErr w:type="spellEnd"/>
      <w:r w:rsidRPr="00661387">
        <w:rPr>
          <w:rFonts w:ascii="Times New Roman" w:eastAsia="Times New Roman" w:hAnsi="Times New Roman" w:cs="Times New Roman"/>
          <w:color w:val="000000"/>
          <w:sz w:val="24"/>
          <w:szCs w:val="24"/>
        </w:rPr>
        <w:t>. App. 111, 123–24, 241 P.3d 421, 427 (</w:t>
      </w:r>
      <w:proofErr w:type="gramStart"/>
      <w:r w:rsidRPr="00661387">
        <w:rPr>
          <w:rFonts w:ascii="Times New Roman" w:eastAsia="Times New Roman" w:hAnsi="Times New Roman" w:cs="Times New Roman"/>
          <w:color w:val="000000"/>
          <w:sz w:val="24"/>
          <w:szCs w:val="24"/>
        </w:rPr>
        <w:t>2010)</w:t>
      </w:r>
      <w:r w:rsidRPr="00661387">
        <w:rPr>
          <w:rFonts w:ascii="Times New Roman" w:eastAsia="Times New Roman" w:hAnsi="Times New Roman" w:cs="Times New Roman"/>
          <w:color w:val="000000"/>
          <w:sz w:val="24"/>
          <w:szCs w:val="24"/>
        </w:rPr>
        <w:t>(</w:t>
      </w:r>
      <w:proofErr w:type="gramEnd"/>
      <w:r w:rsidRPr="00661387">
        <w:rPr>
          <w:rFonts w:ascii="Times New Roman" w:eastAsia="Times New Roman" w:hAnsi="Times New Roman" w:cs="Times New Roman"/>
          <w:color w:val="000000"/>
          <w:sz w:val="24"/>
          <w:szCs w:val="24"/>
        </w:rPr>
        <w:t>a witness gets to choose the conditions of an interview)</w:t>
      </w:r>
      <w:r w:rsidR="006826B7">
        <w:rPr>
          <w:rFonts w:ascii="Times New Roman" w:eastAsia="Times New Roman" w:hAnsi="Times New Roman" w:cs="Times New Roman"/>
          <w:color w:val="000000"/>
          <w:sz w:val="24"/>
          <w:szCs w:val="24"/>
        </w:rPr>
        <w:t>.</w:t>
      </w:r>
    </w:p>
    <w:p w14:paraId="6AF847AB" w14:textId="264D428E" w:rsidR="006826B7" w:rsidRPr="006826B7" w:rsidRDefault="006826B7" w:rsidP="006826B7">
      <w:pPr>
        <w:pStyle w:val="ListParagraph"/>
        <w:numPr>
          <w:ilvl w:val="0"/>
          <w:numId w:val="6"/>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Depositions in a criminal case have requirements to be met before </w:t>
      </w:r>
      <w:r w:rsidR="009F00F1">
        <w:rPr>
          <w:rFonts w:ascii="Times New Roman" w:eastAsia="Times New Roman" w:hAnsi="Times New Roman" w:cs="Times New Roman"/>
          <w:color w:val="000000"/>
          <w:sz w:val="24"/>
          <w:szCs w:val="24"/>
        </w:rPr>
        <w:t>allowed</w:t>
      </w:r>
      <w:r w:rsidR="0030160C">
        <w:rPr>
          <w:rFonts w:ascii="Times New Roman" w:eastAsia="Times New Roman" w:hAnsi="Times New Roman" w:cs="Times New Roman"/>
          <w:color w:val="000000"/>
          <w:sz w:val="24"/>
          <w:szCs w:val="24"/>
        </w:rPr>
        <w:t>.</w:t>
      </w:r>
    </w:p>
    <w:p w14:paraId="65A897A0" w14:textId="0FCDBE1A" w:rsidR="00344F75" w:rsidRDefault="00344F75" w:rsidP="00661387">
      <w:pPr>
        <w:shd w:val="clear" w:color="auto" w:fill="FFFFFF"/>
        <w:spacing w:after="0" w:line="240" w:lineRule="auto"/>
        <w:rPr>
          <w:rFonts w:ascii="Times New Roman" w:eastAsia="Times New Roman" w:hAnsi="Times New Roman" w:cs="Times New Roman"/>
          <w:color w:val="000000"/>
          <w:sz w:val="24"/>
          <w:szCs w:val="24"/>
        </w:rPr>
      </w:pPr>
    </w:p>
    <w:p w14:paraId="6302B147" w14:textId="7CFEF8A8" w:rsidR="00344F75" w:rsidRDefault="00344F75" w:rsidP="00661387">
      <w:pPr>
        <w:shd w:val="clear" w:color="auto" w:fill="FFFFFF"/>
        <w:spacing w:after="0" w:line="240" w:lineRule="auto"/>
        <w:rPr>
          <w:rFonts w:ascii="Times New Roman" w:eastAsia="Times New Roman" w:hAnsi="Times New Roman" w:cs="Times New Roman"/>
          <w:color w:val="000000"/>
          <w:sz w:val="24"/>
          <w:szCs w:val="24"/>
        </w:rPr>
      </w:pPr>
      <w:r w:rsidRPr="00164E18">
        <w:rPr>
          <w:rFonts w:ascii="Times New Roman" w:eastAsia="Times New Roman" w:hAnsi="Times New Roman" w:cs="Times New Roman"/>
          <w:i/>
          <w:iCs/>
          <w:color w:val="000000"/>
          <w:sz w:val="24"/>
          <w:szCs w:val="24"/>
        </w:rPr>
        <w:t>State v. Wilson</w:t>
      </w:r>
      <w:r>
        <w:rPr>
          <w:rFonts w:ascii="Times New Roman" w:eastAsia="Times New Roman" w:hAnsi="Times New Roman" w:cs="Times New Roman"/>
          <w:color w:val="000000"/>
          <w:sz w:val="24"/>
          <w:szCs w:val="24"/>
        </w:rPr>
        <w:t xml:space="preserve">, 108 </w:t>
      </w:r>
      <w:proofErr w:type="spellStart"/>
      <w:r>
        <w:rPr>
          <w:rFonts w:ascii="Times New Roman" w:eastAsia="Times New Roman" w:hAnsi="Times New Roman" w:cs="Times New Roman"/>
          <w:color w:val="000000"/>
          <w:sz w:val="24"/>
          <w:szCs w:val="24"/>
        </w:rPr>
        <w:t>Wn</w:t>
      </w:r>
      <w:proofErr w:type="spellEnd"/>
      <w:r>
        <w:rPr>
          <w:rFonts w:ascii="Times New Roman" w:eastAsia="Times New Roman" w:hAnsi="Times New Roman" w:cs="Times New Roman"/>
          <w:color w:val="000000"/>
          <w:sz w:val="24"/>
          <w:szCs w:val="24"/>
        </w:rPr>
        <w:t xml:space="preserve">. App. </w:t>
      </w:r>
      <w:r w:rsidR="0076034A">
        <w:rPr>
          <w:rFonts w:ascii="Times New Roman" w:eastAsia="Times New Roman" w:hAnsi="Times New Roman" w:cs="Times New Roman"/>
          <w:color w:val="000000"/>
          <w:sz w:val="24"/>
          <w:szCs w:val="24"/>
        </w:rPr>
        <w:t>774,</w:t>
      </w:r>
      <w:r w:rsidR="00164E18">
        <w:rPr>
          <w:rFonts w:ascii="Times New Roman" w:eastAsia="Times New Roman" w:hAnsi="Times New Roman" w:cs="Times New Roman"/>
          <w:color w:val="000000"/>
          <w:sz w:val="24"/>
          <w:szCs w:val="24"/>
        </w:rPr>
        <w:t xml:space="preserve"> 776,</w:t>
      </w:r>
      <w:r w:rsidR="0076034A">
        <w:rPr>
          <w:rFonts w:ascii="Times New Roman" w:eastAsia="Times New Roman" w:hAnsi="Times New Roman" w:cs="Times New Roman"/>
          <w:color w:val="000000"/>
          <w:sz w:val="24"/>
          <w:szCs w:val="24"/>
        </w:rPr>
        <w:t xml:space="preserve"> 31 P.3d 43 (2001)</w:t>
      </w:r>
      <w:r w:rsidR="00164E18">
        <w:rPr>
          <w:rFonts w:ascii="Times New Roman" w:eastAsia="Times New Roman" w:hAnsi="Times New Roman" w:cs="Times New Roman"/>
          <w:color w:val="000000"/>
          <w:sz w:val="24"/>
          <w:szCs w:val="24"/>
        </w:rPr>
        <w:t xml:space="preserve">; See also </w:t>
      </w:r>
      <w:r w:rsidR="00164E18" w:rsidRPr="00164E18">
        <w:rPr>
          <w:rFonts w:ascii="Times New Roman" w:eastAsia="Times New Roman" w:hAnsi="Times New Roman" w:cs="Times New Roman"/>
          <w:i/>
          <w:iCs/>
          <w:color w:val="000000"/>
          <w:sz w:val="24"/>
          <w:szCs w:val="24"/>
        </w:rPr>
        <w:t>Hofstetter</w:t>
      </w:r>
      <w:r w:rsidR="00164E18">
        <w:rPr>
          <w:rFonts w:ascii="Times New Roman" w:eastAsia="Times New Roman" w:hAnsi="Times New Roman" w:cs="Times New Roman"/>
          <w:color w:val="000000"/>
          <w:sz w:val="24"/>
          <w:szCs w:val="24"/>
        </w:rPr>
        <w:t xml:space="preserve">; and </w:t>
      </w:r>
      <w:r w:rsidR="00164E18" w:rsidRPr="00164E18">
        <w:rPr>
          <w:rFonts w:ascii="Times New Roman" w:eastAsia="Times New Roman" w:hAnsi="Times New Roman" w:cs="Times New Roman"/>
          <w:i/>
          <w:iCs/>
          <w:color w:val="000000"/>
          <w:sz w:val="24"/>
          <w:szCs w:val="24"/>
        </w:rPr>
        <w:t>State v. Zhao</w:t>
      </w:r>
      <w:r w:rsidR="00164E18">
        <w:rPr>
          <w:rFonts w:ascii="Times New Roman" w:eastAsia="Times New Roman" w:hAnsi="Times New Roman" w:cs="Times New Roman"/>
          <w:color w:val="000000"/>
          <w:sz w:val="24"/>
          <w:szCs w:val="24"/>
        </w:rPr>
        <w:t>, 157 Wn.2d 188, 205 P.3d 835 (2006)</w:t>
      </w:r>
      <w:r w:rsidR="0030160C">
        <w:rPr>
          <w:rFonts w:ascii="Times New Roman" w:eastAsia="Times New Roman" w:hAnsi="Times New Roman" w:cs="Times New Roman"/>
          <w:color w:val="000000"/>
          <w:sz w:val="24"/>
          <w:szCs w:val="24"/>
        </w:rPr>
        <w:t>.</w:t>
      </w:r>
    </w:p>
    <w:p w14:paraId="7813FEEC" w14:textId="5C963246" w:rsidR="0076034A" w:rsidRDefault="0076034A" w:rsidP="0076034A">
      <w:pPr>
        <w:pStyle w:val="ListParagraph"/>
        <w:numPr>
          <w:ilvl w:val="0"/>
          <w:numId w:val="5"/>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state has a duty to assist</w:t>
      </w:r>
      <w:r w:rsidR="00962B50">
        <w:rPr>
          <w:rFonts w:ascii="Times New Roman" w:eastAsia="Times New Roman" w:hAnsi="Times New Roman" w:cs="Times New Roman"/>
          <w:color w:val="000000"/>
          <w:sz w:val="24"/>
          <w:szCs w:val="24"/>
        </w:rPr>
        <w:t xml:space="preserve"> scheduling interviews with state witnesses</w:t>
      </w:r>
      <w:r w:rsidR="0030160C">
        <w:rPr>
          <w:rFonts w:ascii="Times New Roman" w:eastAsia="Times New Roman" w:hAnsi="Times New Roman" w:cs="Times New Roman"/>
          <w:color w:val="000000"/>
          <w:sz w:val="24"/>
          <w:szCs w:val="24"/>
        </w:rPr>
        <w:t>.</w:t>
      </w:r>
    </w:p>
    <w:p w14:paraId="3008FEB1" w14:textId="44C100B9" w:rsidR="00962B50" w:rsidRDefault="00962B50" w:rsidP="0076034A">
      <w:pPr>
        <w:pStyle w:val="ListParagraph"/>
        <w:numPr>
          <w:ilvl w:val="0"/>
          <w:numId w:val="5"/>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Witness who refuses to be interviewed is subject to being deposed, which they cannot refuse.</w:t>
      </w:r>
    </w:p>
    <w:p w14:paraId="3B459D29" w14:textId="1F28C5B4" w:rsidR="00927C5E" w:rsidRDefault="00927C5E" w:rsidP="00927C5E">
      <w:pPr>
        <w:shd w:val="clear" w:color="auto" w:fill="FFFFFF"/>
        <w:spacing w:after="0" w:line="240" w:lineRule="auto"/>
        <w:rPr>
          <w:rFonts w:ascii="Times New Roman" w:eastAsia="Times New Roman" w:hAnsi="Times New Roman" w:cs="Times New Roman"/>
          <w:color w:val="000000"/>
          <w:sz w:val="24"/>
          <w:szCs w:val="24"/>
        </w:rPr>
      </w:pPr>
    </w:p>
    <w:p w14:paraId="2AB57DC9" w14:textId="77777777" w:rsidR="00C641DA" w:rsidRDefault="00432D64" w:rsidP="00927C5E">
      <w:pPr>
        <w:shd w:val="clear" w:color="auto" w:fill="FFFFFF"/>
        <w:spacing w:after="0" w:line="240" w:lineRule="auto"/>
        <w:rPr>
          <w:rFonts w:ascii="Times New Roman" w:eastAsia="Times New Roman" w:hAnsi="Times New Roman" w:cs="Times New Roman"/>
          <w:color w:val="000000"/>
          <w:sz w:val="24"/>
          <w:szCs w:val="24"/>
        </w:rPr>
      </w:pPr>
      <w:r w:rsidRPr="00432D64">
        <w:rPr>
          <w:rFonts w:ascii="Times New Roman" w:eastAsia="Times New Roman" w:hAnsi="Times New Roman" w:cs="Times New Roman"/>
          <w:i/>
          <w:iCs/>
          <w:color w:val="000000"/>
          <w:sz w:val="24"/>
          <w:szCs w:val="24"/>
        </w:rPr>
        <w:t>State v. D.K.,</w:t>
      </w:r>
      <w:r w:rsidRPr="00432D64">
        <w:rPr>
          <w:rFonts w:ascii="Times New Roman" w:eastAsia="Times New Roman" w:hAnsi="Times New Roman" w:cs="Times New Roman"/>
          <w:color w:val="000000"/>
          <w:sz w:val="24"/>
          <w:szCs w:val="24"/>
        </w:rPr>
        <w:t xml:space="preserve"> 21 </w:t>
      </w:r>
      <w:proofErr w:type="spellStart"/>
      <w:r w:rsidRPr="00432D64">
        <w:rPr>
          <w:rFonts w:ascii="Times New Roman" w:eastAsia="Times New Roman" w:hAnsi="Times New Roman" w:cs="Times New Roman"/>
          <w:color w:val="000000"/>
          <w:sz w:val="24"/>
          <w:szCs w:val="24"/>
        </w:rPr>
        <w:t>Wn</w:t>
      </w:r>
      <w:proofErr w:type="spellEnd"/>
      <w:r w:rsidRPr="00432D64">
        <w:rPr>
          <w:rFonts w:ascii="Times New Roman" w:eastAsia="Times New Roman" w:hAnsi="Times New Roman" w:cs="Times New Roman"/>
          <w:color w:val="000000"/>
          <w:sz w:val="24"/>
          <w:szCs w:val="24"/>
        </w:rPr>
        <w:t xml:space="preserve">. App.2d 342, 344, 507 P.3d 859, 860, </w:t>
      </w:r>
      <w:r w:rsidRPr="00432D64">
        <w:rPr>
          <w:rFonts w:ascii="Times New Roman" w:eastAsia="Times New Roman" w:hAnsi="Times New Roman" w:cs="Times New Roman"/>
          <w:i/>
          <w:iCs/>
          <w:color w:val="000000"/>
          <w:sz w:val="24"/>
          <w:szCs w:val="24"/>
        </w:rPr>
        <w:t>review denied</w:t>
      </w:r>
      <w:r w:rsidRPr="00432D64">
        <w:rPr>
          <w:rFonts w:ascii="Times New Roman" w:eastAsia="Times New Roman" w:hAnsi="Times New Roman" w:cs="Times New Roman"/>
          <w:color w:val="000000"/>
          <w:sz w:val="24"/>
          <w:szCs w:val="24"/>
          <w:u w:val="single"/>
        </w:rPr>
        <w:t>,</w:t>
      </w:r>
      <w:r w:rsidRPr="00432D64">
        <w:rPr>
          <w:rFonts w:ascii="Times New Roman" w:eastAsia="Times New Roman" w:hAnsi="Times New Roman" w:cs="Times New Roman"/>
          <w:color w:val="000000"/>
          <w:sz w:val="24"/>
          <w:szCs w:val="24"/>
        </w:rPr>
        <w:t xml:space="preserve"> 516 P.3d 376 (</w:t>
      </w:r>
      <w:proofErr w:type="gramStart"/>
      <w:r w:rsidRPr="00432D64">
        <w:rPr>
          <w:rFonts w:ascii="Times New Roman" w:eastAsia="Times New Roman" w:hAnsi="Times New Roman" w:cs="Times New Roman"/>
          <w:color w:val="000000"/>
          <w:sz w:val="24"/>
          <w:szCs w:val="24"/>
        </w:rPr>
        <w:t>2022)(</w:t>
      </w:r>
      <w:proofErr w:type="gramEnd"/>
      <w:r w:rsidRPr="00432D64">
        <w:rPr>
          <w:rFonts w:ascii="Times New Roman" w:eastAsia="Times New Roman" w:hAnsi="Times New Roman" w:cs="Times New Roman"/>
          <w:color w:val="000000"/>
          <w:sz w:val="24"/>
          <w:szCs w:val="24"/>
        </w:rPr>
        <w:t xml:space="preserve">as long as testimony is reliable, and the jury and the witness can see each other, video testimony is authorized, even with the victim, and does not violate the Sixth Amendment right to confrontation).  </w:t>
      </w:r>
    </w:p>
    <w:p w14:paraId="7A355C6F" w14:textId="0913A157" w:rsidR="00432D64" w:rsidRDefault="0067547B" w:rsidP="00C641DA">
      <w:pPr>
        <w:shd w:val="clear" w:color="auto" w:fill="FFFFFF"/>
        <w:spacing w:after="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C641DA">
        <w:rPr>
          <w:rFonts w:ascii="Times New Roman" w:eastAsia="Times New Roman" w:hAnsi="Times New Roman" w:cs="Times New Roman"/>
          <w:color w:val="000000"/>
          <w:sz w:val="24"/>
          <w:szCs w:val="24"/>
        </w:rPr>
        <w:t xml:space="preserve"> Video testimony in trial is allowed, under some conditions</w:t>
      </w:r>
      <w:r w:rsidR="0030160C">
        <w:rPr>
          <w:rFonts w:ascii="Times New Roman" w:eastAsia="Times New Roman" w:hAnsi="Times New Roman" w:cs="Times New Roman"/>
          <w:color w:val="000000"/>
          <w:sz w:val="24"/>
          <w:szCs w:val="24"/>
        </w:rPr>
        <w:t>.</w:t>
      </w:r>
    </w:p>
    <w:p w14:paraId="544B517D" w14:textId="6881FDE7" w:rsidR="00404047" w:rsidRDefault="00404047" w:rsidP="00927C5E">
      <w:pPr>
        <w:shd w:val="clear" w:color="auto" w:fill="FFFFFF"/>
        <w:spacing w:after="0" w:line="240" w:lineRule="auto"/>
        <w:rPr>
          <w:rFonts w:ascii="Times New Roman" w:eastAsia="Times New Roman" w:hAnsi="Times New Roman" w:cs="Times New Roman"/>
          <w:color w:val="000000"/>
          <w:sz w:val="24"/>
          <w:szCs w:val="24"/>
        </w:rPr>
      </w:pPr>
    </w:p>
    <w:p w14:paraId="3E4B5875" w14:textId="77777777" w:rsidR="00C641DA" w:rsidRDefault="00404047" w:rsidP="00927C5E">
      <w:pPr>
        <w:shd w:val="clear" w:color="auto" w:fill="FFFFFF"/>
        <w:spacing w:after="0" w:line="240" w:lineRule="auto"/>
        <w:rPr>
          <w:rFonts w:ascii="Times New Roman" w:eastAsia="Times New Roman" w:hAnsi="Times New Roman" w:cs="Times New Roman"/>
          <w:color w:val="000000"/>
          <w:sz w:val="24"/>
          <w:szCs w:val="24"/>
        </w:rPr>
      </w:pPr>
      <w:r w:rsidRPr="00404047">
        <w:rPr>
          <w:rFonts w:ascii="Times New Roman" w:eastAsia="Times New Roman" w:hAnsi="Times New Roman" w:cs="Times New Roman"/>
          <w:i/>
          <w:iCs/>
          <w:color w:val="000000"/>
          <w:sz w:val="24"/>
          <w:szCs w:val="24"/>
        </w:rPr>
        <w:t>In Lord v. Wood,</w:t>
      </w:r>
      <w:r w:rsidRPr="00404047">
        <w:rPr>
          <w:rFonts w:ascii="Times New Roman" w:eastAsia="Times New Roman" w:hAnsi="Times New Roman" w:cs="Times New Roman"/>
          <w:color w:val="000000"/>
          <w:sz w:val="24"/>
          <w:szCs w:val="24"/>
        </w:rPr>
        <w:t xml:space="preserve"> 184 F.3d 1083, 1095 (9th Cir. </w:t>
      </w:r>
      <w:proofErr w:type="gramStart"/>
      <w:r w:rsidRPr="00404047">
        <w:rPr>
          <w:rFonts w:ascii="Times New Roman" w:eastAsia="Times New Roman" w:hAnsi="Times New Roman" w:cs="Times New Roman"/>
          <w:color w:val="000000"/>
          <w:sz w:val="24"/>
          <w:szCs w:val="24"/>
        </w:rPr>
        <w:t>1999)</w:t>
      </w:r>
      <w:r>
        <w:rPr>
          <w:rFonts w:ascii="Times New Roman" w:eastAsia="Times New Roman" w:hAnsi="Times New Roman" w:cs="Times New Roman"/>
          <w:color w:val="000000"/>
          <w:sz w:val="24"/>
          <w:szCs w:val="24"/>
        </w:rPr>
        <w:t>(</w:t>
      </w:r>
      <w:proofErr w:type="gramEnd"/>
      <w:r w:rsidR="00870027">
        <w:rPr>
          <w:rFonts w:ascii="Times New Roman" w:eastAsia="Times New Roman" w:hAnsi="Times New Roman" w:cs="Times New Roman"/>
          <w:color w:val="000000"/>
          <w:sz w:val="24"/>
          <w:szCs w:val="24"/>
        </w:rPr>
        <w:t>held a witness’ testimony consists not only of the words he speaks or the story he tells, but of his demeanor and reputation. A witness who appears shifty, or biased and testifies</w:t>
      </w:r>
      <w:r w:rsidR="00E75391">
        <w:rPr>
          <w:rFonts w:ascii="Times New Roman" w:eastAsia="Times New Roman" w:hAnsi="Times New Roman" w:cs="Times New Roman"/>
          <w:color w:val="000000"/>
          <w:sz w:val="24"/>
          <w:szCs w:val="24"/>
        </w:rPr>
        <w:t xml:space="preserve"> to X may persuade the jury that not-X is true. Counsel cannot make such judgments about a witness without looking him in the eye and hearing him tell his story).</w:t>
      </w:r>
      <w:r w:rsidR="00C641DA">
        <w:rPr>
          <w:rFonts w:ascii="Times New Roman" w:eastAsia="Times New Roman" w:hAnsi="Times New Roman" w:cs="Times New Roman"/>
          <w:color w:val="000000"/>
          <w:sz w:val="24"/>
          <w:szCs w:val="24"/>
        </w:rPr>
        <w:tab/>
      </w:r>
    </w:p>
    <w:p w14:paraId="5DF66A6C" w14:textId="2A336858" w:rsidR="00404047" w:rsidRDefault="00C641DA" w:rsidP="00C641DA">
      <w:pPr>
        <w:shd w:val="clear" w:color="auto" w:fill="FFFFFF"/>
        <w:spacing w:after="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**Use to request in person interviews and testimony.</w:t>
      </w:r>
    </w:p>
    <w:p w14:paraId="49D4F2B2" w14:textId="2EEDFE98" w:rsidR="0066273B" w:rsidRDefault="0066273B" w:rsidP="0066273B">
      <w:pPr>
        <w:shd w:val="clear" w:color="auto" w:fill="FFFFFF"/>
        <w:spacing w:after="0" w:line="240" w:lineRule="auto"/>
        <w:rPr>
          <w:rFonts w:ascii="Times New Roman" w:eastAsia="Times New Roman" w:hAnsi="Times New Roman" w:cs="Times New Roman"/>
          <w:color w:val="000000"/>
          <w:sz w:val="24"/>
          <w:szCs w:val="24"/>
        </w:rPr>
      </w:pPr>
    </w:p>
    <w:p w14:paraId="7B4CE854" w14:textId="630133B2" w:rsidR="0066273B" w:rsidRDefault="0066273B" w:rsidP="0066273B">
      <w:pPr>
        <w:shd w:val="clear" w:color="auto" w:fill="FFFFFF"/>
        <w:spacing w:after="0" w:line="240" w:lineRule="auto"/>
        <w:rPr>
          <w:rFonts w:ascii="Times New Roman" w:eastAsia="Times New Roman" w:hAnsi="Times New Roman" w:cs="Times New Roman"/>
          <w:color w:val="000000"/>
          <w:sz w:val="24"/>
          <w:szCs w:val="24"/>
        </w:rPr>
      </w:pPr>
      <w:r w:rsidRPr="001953E4">
        <w:rPr>
          <w:rFonts w:ascii="Times New Roman" w:eastAsia="Times New Roman" w:hAnsi="Times New Roman" w:cs="Times New Roman"/>
          <w:i/>
          <w:iCs/>
          <w:color w:val="000000"/>
          <w:sz w:val="24"/>
          <w:szCs w:val="24"/>
        </w:rPr>
        <w:t>State v. Boyd</w:t>
      </w:r>
      <w:r>
        <w:rPr>
          <w:rFonts w:ascii="Times New Roman" w:eastAsia="Times New Roman" w:hAnsi="Times New Roman" w:cs="Times New Roman"/>
          <w:color w:val="000000"/>
          <w:sz w:val="24"/>
          <w:szCs w:val="24"/>
        </w:rPr>
        <w:t xml:space="preserve">, 160 Wn.2d </w:t>
      </w:r>
      <w:r w:rsidR="001953E4">
        <w:rPr>
          <w:rFonts w:ascii="Times New Roman" w:eastAsia="Times New Roman" w:hAnsi="Times New Roman" w:cs="Times New Roman"/>
          <w:color w:val="000000"/>
          <w:sz w:val="24"/>
          <w:szCs w:val="24"/>
        </w:rPr>
        <w:t>424, 158 P.3d 54 (</w:t>
      </w:r>
      <w:proofErr w:type="gramStart"/>
      <w:r w:rsidR="001953E4">
        <w:rPr>
          <w:rFonts w:ascii="Times New Roman" w:eastAsia="Times New Roman" w:hAnsi="Times New Roman" w:cs="Times New Roman"/>
          <w:color w:val="000000"/>
          <w:sz w:val="24"/>
          <w:szCs w:val="24"/>
        </w:rPr>
        <w:t>2007)(</w:t>
      </w:r>
      <w:proofErr w:type="gramEnd"/>
      <w:r w:rsidR="001953E4">
        <w:rPr>
          <w:rFonts w:ascii="Times New Roman" w:eastAsia="Times New Roman" w:hAnsi="Times New Roman" w:cs="Times New Roman"/>
          <w:color w:val="000000"/>
          <w:sz w:val="24"/>
          <w:szCs w:val="24"/>
        </w:rPr>
        <w:t>pretrial discovery should be as full and free as possible).</w:t>
      </w:r>
    </w:p>
    <w:p w14:paraId="264D640D" w14:textId="77777777" w:rsidR="001953E4" w:rsidRPr="00404047" w:rsidRDefault="001953E4" w:rsidP="0066273B">
      <w:pPr>
        <w:shd w:val="clear" w:color="auto" w:fill="FFFFFF"/>
        <w:spacing w:after="0" w:line="240" w:lineRule="auto"/>
        <w:rPr>
          <w:rFonts w:ascii="Times New Roman" w:eastAsia="Times New Roman" w:hAnsi="Times New Roman" w:cs="Times New Roman"/>
          <w:color w:val="000000"/>
          <w:sz w:val="24"/>
          <w:szCs w:val="24"/>
        </w:rPr>
      </w:pPr>
    </w:p>
    <w:p w14:paraId="46CA0921" w14:textId="366B2EF5" w:rsidR="009C5273" w:rsidRDefault="00917CD3" w:rsidP="009C5273">
      <w:pPr>
        <w:shd w:val="clear" w:color="auto" w:fill="FFFFFF"/>
        <w:spacing w:after="0" w:line="240" w:lineRule="auto"/>
        <w:rPr>
          <w:rFonts w:ascii="Times New Roman" w:eastAsia="Times New Roman" w:hAnsi="Times New Roman" w:cs="Times New Roman"/>
          <w:color w:val="000000"/>
          <w:sz w:val="24"/>
          <w:szCs w:val="24"/>
        </w:rPr>
      </w:pPr>
      <w:r w:rsidRPr="006E6A96">
        <w:rPr>
          <w:rFonts w:ascii="Times New Roman" w:eastAsia="Times New Roman" w:hAnsi="Times New Roman" w:cs="Times New Roman"/>
          <w:i/>
          <w:iCs/>
          <w:color w:val="000000"/>
          <w:sz w:val="24"/>
          <w:szCs w:val="24"/>
        </w:rPr>
        <w:t xml:space="preserve">State v. </w:t>
      </w:r>
      <w:proofErr w:type="spellStart"/>
      <w:r w:rsidRPr="006E6A96">
        <w:rPr>
          <w:rFonts w:ascii="Times New Roman" w:eastAsia="Times New Roman" w:hAnsi="Times New Roman" w:cs="Times New Roman"/>
          <w:i/>
          <w:iCs/>
          <w:color w:val="000000"/>
          <w:sz w:val="24"/>
          <w:szCs w:val="24"/>
        </w:rPr>
        <w:t>Vavra</w:t>
      </w:r>
      <w:proofErr w:type="spellEnd"/>
      <w:r>
        <w:rPr>
          <w:rFonts w:ascii="Times New Roman" w:eastAsia="Times New Roman" w:hAnsi="Times New Roman" w:cs="Times New Roman"/>
          <w:color w:val="000000"/>
          <w:sz w:val="24"/>
          <w:szCs w:val="24"/>
        </w:rPr>
        <w:t xml:space="preserve">, 33 </w:t>
      </w:r>
      <w:proofErr w:type="spellStart"/>
      <w:r>
        <w:rPr>
          <w:rFonts w:ascii="Times New Roman" w:eastAsia="Times New Roman" w:hAnsi="Times New Roman" w:cs="Times New Roman"/>
          <w:color w:val="000000"/>
          <w:sz w:val="24"/>
          <w:szCs w:val="24"/>
        </w:rPr>
        <w:t>Wn</w:t>
      </w:r>
      <w:proofErr w:type="spellEnd"/>
      <w:r>
        <w:rPr>
          <w:rFonts w:ascii="Times New Roman" w:eastAsia="Times New Roman" w:hAnsi="Times New Roman" w:cs="Times New Roman"/>
          <w:color w:val="000000"/>
          <w:sz w:val="24"/>
          <w:szCs w:val="24"/>
        </w:rPr>
        <w:t>. App. 142, 652 P.2d 959 (</w:t>
      </w:r>
      <w:proofErr w:type="gramStart"/>
      <w:r w:rsidR="003062FB">
        <w:rPr>
          <w:rFonts w:ascii="Times New Roman" w:eastAsia="Times New Roman" w:hAnsi="Times New Roman" w:cs="Times New Roman"/>
          <w:color w:val="000000"/>
          <w:sz w:val="24"/>
          <w:szCs w:val="24"/>
        </w:rPr>
        <w:t>1982)(</w:t>
      </w:r>
      <w:proofErr w:type="gramEnd"/>
      <w:r w:rsidR="003062FB">
        <w:rPr>
          <w:rFonts w:ascii="Times New Roman" w:eastAsia="Times New Roman" w:hAnsi="Times New Roman" w:cs="Times New Roman"/>
          <w:color w:val="000000"/>
          <w:sz w:val="24"/>
          <w:szCs w:val="24"/>
        </w:rPr>
        <w:t xml:space="preserve">although court rules indicate discovery is not due until </w:t>
      </w:r>
      <w:r w:rsidR="004868FA">
        <w:rPr>
          <w:rFonts w:ascii="Times New Roman" w:eastAsia="Times New Roman" w:hAnsi="Times New Roman" w:cs="Times New Roman"/>
          <w:color w:val="000000"/>
          <w:sz w:val="24"/>
          <w:szCs w:val="24"/>
        </w:rPr>
        <w:t xml:space="preserve">“no later than the omnibus hearing, discovery is also </w:t>
      </w:r>
      <w:r w:rsidR="006E6A96">
        <w:rPr>
          <w:rFonts w:ascii="Times New Roman" w:eastAsia="Times New Roman" w:hAnsi="Times New Roman" w:cs="Times New Roman"/>
          <w:color w:val="000000"/>
          <w:sz w:val="24"/>
          <w:szCs w:val="24"/>
        </w:rPr>
        <w:t>due upon demand).</w:t>
      </w:r>
    </w:p>
    <w:p w14:paraId="48F53E60" w14:textId="5B44E9B5" w:rsidR="00141D78" w:rsidRDefault="00141D78" w:rsidP="00141D78">
      <w:pPr>
        <w:pStyle w:val="ListParagraph"/>
        <w:numPr>
          <w:ilvl w:val="0"/>
          <w:numId w:val="7"/>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purpose of discovery requir</w:t>
      </w:r>
      <w:r w:rsidR="001363D3">
        <w:rPr>
          <w:rFonts w:ascii="Times New Roman" w:eastAsia="Times New Roman" w:hAnsi="Times New Roman" w:cs="Times New Roman"/>
          <w:color w:val="000000"/>
          <w:sz w:val="24"/>
          <w:szCs w:val="24"/>
        </w:rPr>
        <w:t>ing the state to disclose promptly upon demand is to ensure a fair trial, and among other things so that rebuttal and impeachment testimony may be obtained without going beyond speedy trial.</w:t>
      </w:r>
    </w:p>
    <w:p w14:paraId="7DC6A688" w14:textId="50A39576" w:rsidR="001363D3" w:rsidRDefault="001363D3" w:rsidP="001363D3">
      <w:pPr>
        <w:shd w:val="clear" w:color="auto" w:fill="FFFFFF"/>
        <w:spacing w:after="0" w:line="240" w:lineRule="auto"/>
        <w:rPr>
          <w:rFonts w:ascii="Times New Roman" w:eastAsia="Times New Roman" w:hAnsi="Times New Roman" w:cs="Times New Roman"/>
          <w:color w:val="000000"/>
          <w:sz w:val="24"/>
          <w:szCs w:val="24"/>
        </w:rPr>
      </w:pPr>
    </w:p>
    <w:p w14:paraId="2EA9B1BA" w14:textId="76AE01B2" w:rsidR="001363D3" w:rsidRDefault="00CD354F" w:rsidP="001363D3">
      <w:pPr>
        <w:shd w:val="clear" w:color="auto" w:fill="FFFFFF"/>
        <w:spacing w:after="0" w:line="240" w:lineRule="auto"/>
        <w:rPr>
          <w:rFonts w:ascii="Times New Roman" w:eastAsia="Times New Roman" w:hAnsi="Times New Roman" w:cs="Times New Roman"/>
          <w:color w:val="000000"/>
          <w:sz w:val="24"/>
          <w:szCs w:val="24"/>
        </w:rPr>
      </w:pPr>
      <w:r w:rsidRPr="00D82068">
        <w:rPr>
          <w:rFonts w:ascii="Times New Roman" w:eastAsia="Times New Roman" w:hAnsi="Times New Roman" w:cs="Times New Roman"/>
          <w:i/>
          <w:iCs/>
          <w:color w:val="000000"/>
          <w:sz w:val="24"/>
          <w:szCs w:val="24"/>
        </w:rPr>
        <w:t>State v. Brush</w:t>
      </w:r>
      <w:r>
        <w:rPr>
          <w:rFonts w:ascii="Times New Roman" w:eastAsia="Times New Roman" w:hAnsi="Times New Roman" w:cs="Times New Roman"/>
          <w:color w:val="000000"/>
          <w:sz w:val="24"/>
          <w:szCs w:val="24"/>
        </w:rPr>
        <w:t xml:space="preserve">, 32 </w:t>
      </w:r>
      <w:proofErr w:type="spellStart"/>
      <w:r>
        <w:rPr>
          <w:rFonts w:ascii="Times New Roman" w:eastAsia="Times New Roman" w:hAnsi="Times New Roman" w:cs="Times New Roman"/>
          <w:color w:val="000000"/>
          <w:sz w:val="24"/>
          <w:szCs w:val="24"/>
        </w:rPr>
        <w:t>Wn</w:t>
      </w:r>
      <w:proofErr w:type="spellEnd"/>
      <w:r>
        <w:rPr>
          <w:rFonts w:ascii="Times New Roman" w:eastAsia="Times New Roman" w:hAnsi="Times New Roman" w:cs="Times New Roman"/>
          <w:color w:val="000000"/>
          <w:sz w:val="24"/>
          <w:szCs w:val="24"/>
        </w:rPr>
        <w:t>. App. 445, 648 P.2d 897 (</w:t>
      </w:r>
      <w:proofErr w:type="gramStart"/>
      <w:r>
        <w:rPr>
          <w:rFonts w:ascii="Times New Roman" w:eastAsia="Times New Roman" w:hAnsi="Times New Roman" w:cs="Times New Roman"/>
          <w:color w:val="000000"/>
          <w:sz w:val="24"/>
          <w:szCs w:val="24"/>
        </w:rPr>
        <w:t>1982)</w:t>
      </w:r>
      <w:r w:rsidR="00D82068">
        <w:rPr>
          <w:rFonts w:ascii="Times New Roman" w:eastAsia="Times New Roman" w:hAnsi="Times New Roman" w:cs="Times New Roman"/>
          <w:color w:val="000000"/>
          <w:sz w:val="24"/>
          <w:szCs w:val="24"/>
        </w:rPr>
        <w:t>(</w:t>
      </w:r>
      <w:proofErr w:type="gramEnd"/>
      <w:r w:rsidR="00D82068">
        <w:rPr>
          <w:rFonts w:ascii="Times New Roman" w:eastAsia="Times New Roman" w:hAnsi="Times New Roman" w:cs="Times New Roman"/>
          <w:color w:val="000000"/>
          <w:sz w:val="24"/>
          <w:szCs w:val="24"/>
        </w:rPr>
        <w:t>state must furnish any evidence intended to use as rebuttal to defense “at the moment of discovery or confirmation, even when such occurs during trial”).</w:t>
      </w:r>
    </w:p>
    <w:p w14:paraId="0C84114A" w14:textId="4197EEAB" w:rsidR="00D82068" w:rsidRDefault="00D82068" w:rsidP="001363D3">
      <w:pPr>
        <w:shd w:val="clear" w:color="auto" w:fill="FFFFFF"/>
        <w:spacing w:after="0" w:line="240" w:lineRule="auto"/>
        <w:rPr>
          <w:rFonts w:ascii="Times New Roman" w:eastAsia="Times New Roman" w:hAnsi="Times New Roman" w:cs="Times New Roman"/>
          <w:color w:val="000000"/>
          <w:sz w:val="24"/>
          <w:szCs w:val="24"/>
        </w:rPr>
      </w:pPr>
    </w:p>
    <w:p w14:paraId="7CABE518" w14:textId="6980B4CA" w:rsidR="00D82068" w:rsidRDefault="00D82068" w:rsidP="001363D3">
      <w:pPr>
        <w:shd w:val="clear" w:color="auto" w:fill="FFFFFF"/>
        <w:spacing w:after="0" w:line="240" w:lineRule="auto"/>
        <w:rPr>
          <w:rFonts w:ascii="Times New Roman" w:eastAsia="Times New Roman" w:hAnsi="Times New Roman" w:cs="Times New Roman"/>
          <w:color w:val="000000"/>
          <w:sz w:val="24"/>
          <w:szCs w:val="24"/>
        </w:rPr>
      </w:pPr>
    </w:p>
    <w:p w14:paraId="4D2B9DEB" w14:textId="2D9BE3C3" w:rsidR="00D82068" w:rsidRDefault="00D82068" w:rsidP="001363D3">
      <w:pPr>
        <w:shd w:val="clear" w:color="auto" w:fill="FFFFFF"/>
        <w:spacing w:after="0" w:line="240" w:lineRule="auto"/>
        <w:rPr>
          <w:rFonts w:ascii="Times New Roman" w:eastAsia="Times New Roman" w:hAnsi="Times New Roman" w:cs="Times New Roman"/>
          <w:color w:val="000000"/>
          <w:sz w:val="24"/>
          <w:szCs w:val="24"/>
        </w:rPr>
      </w:pPr>
    </w:p>
    <w:p w14:paraId="507D7C31" w14:textId="2C276383" w:rsidR="00E71D16" w:rsidRDefault="00E71D16" w:rsidP="001363D3">
      <w:pPr>
        <w:shd w:val="clear" w:color="auto" w:fill="FFFFFF"/>
        <w:spacing w:after="0" w:line="240" w:lineRule="auto"/>
        <w:rPr>
          <w:rFonts w:ascii="Times New Roman" w:eastAsia="Times New Roman" w:hAnsi="Times New Roman" w:cs="Times New Roman"/>
          <w:color w:val="000000"/>
          <w:sz w:val="24"/>
          <w:szCs w:val="24"/>
        </w:rPr>
      </w:pPr>
      <w:r w:rsidRPr="00C27252">
        <w:rPr>
          <w:rFonts w:ascii="Times New Roman" w:eastAsia="Times New Roman" w:hAnsi="Times New Roman" w:cs="Times New Roman"/>
          <w:i/>
          <w:iCs/>
          <w:color w:val="000000"/>
          <w:sz w:val="24"/>
          <w:szCs w:val="24"/>
        </w:rPr>
        <w:t>State v. Brooks</w:t>
      </w:r>
      <w:r>
        <w:rPr>
          <w:rFonts w:ascii="Times New Roman" w:eastAsia="Times New Roman" w:hAnsi="Times New Roman" w:cs="Times New Roman"/>
          <w:color w:val="000000"/>
          <w:sz w:val="24"/>
          <w:szCs w:val="24"/>
        </w:rPr>
        <w:t xml:space="preserve">, 149 </w:t>
      </w:r>
      <w:proofErr w:type="spellStart"/>
      <w:r>
        <w:rPr>
          <w:rFonts w:ascii="Times New Roman" w:eastAsia="Times New Roman" w:hAnsi="Times New Roman" w:cs="Times New Roman"/>
          <w:color w:val="000000"/>
          <w:sz w:val="24"/>
          <w:szCs w:val="24"/>
        </w:rPr>
        <w:t>Wn</w:t>
      </w:r>
      <w:proofErr w:type="spellEnd"/>
      <w:r>
        <w:rPr>
          <w:rFonts w:ascii="Times New Roman" w:eastAsia="Times New Roman" w:hAnsi="Times New Roman" w:cs="Times New Roman"/>
          <w:color w:val="000000"/>
          <w:sz w:val="24"/>
          <w:szCs w:val="24"/>
        </w:rPr>
        <w:t>. App. 373, 203 P.3d 397 (2009)</w:t>
      </w:r>
    </w:p>
    <w:p w14:paraId="7E215BF2" w14:textId="014E9515" w:rsidR="002F4F1F" w:rsidRDefault="002F4F1F" w:rsidP="002F4F1F">
      <w:pPr>
        <w:pStyle w:val="ListParagraph"/>
        <w:numPr>
          <w:ilvl w:val="0"/>
          <w:numId w:val="7"/>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Dumping large amounts</w:t>
      </w:r>
      <w:r w:rsidR="00C27252">
        <w:rPr>
          <w:rFonts w:ascii="Times New Roman" w:eastAsia="Times New Roman" w:hAnsi="Times New Roman" w:cs="Times New Roman"/>
          <w:color w:val="000000"/>
          <w:sz w:val="24"/>
          <w:szCs w:val="24"/>
        </w:rPr>
        <w:t xml:space="preserve"> of discovery too close to trial is government mismanagement, sufficient to dismiss the case under </w:t>
      </w:r>
      <w:proofErr w:type="spellStart"/>
      <w:r w:rsidR="00C27252">
        <w:rPr>
          <w:rFonts w:ascii="Times New Roman" w:eastAsia="Times New Roman" w:hAnsi="Times New Roman" w:cs="Times New Roman"/>
          <w:color w:val="000000"/>
          <w:sz w:val="24"/>
          <w:szCs w:val="24"/>
        </w:rPr>
        <w:t>CrR</w:t>
      </w:r>
      <w:proofErr w:type="spellEnd"/>
      <w:r w:rsidR="00C27252">
        <w:rPr>
          <w:rFonts w:ascii="Times New Roman" w:eastAsia="Times New Roman" w:hAnsi="Times New Roman" w:cs="Times New Roman"/>
          <w:color w:val="000000"/>
          <w:sz w:val="24"/>
          <w:szCs w:val="24"/>
        </w:rPr>
        <w:t xml:space="preserve"> 8.3(b)).</w:t>
      </w:r>
    </w:p>
    <w:p w14:paraId="3EBA0233" w14:textId="6BCE213C" w:rsidR="00CB41B5" w:rsidRDefault="00CB41B5" w:rsidP="002F4F1F">
      <w:pPr>
        <w:pStyle w:val="ListParagraph"/>
        <w:numPr>
          <w:ilvl w:val="0"/>
          <w:numId w:val="7"/>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It doesn’t matter if law enforcement or another government agency held the discovery, the state has an affirmative duty </w:t>
      </w:r>
      <w:r w:rsidR="000D2574">
        <w:rPr>
          <w:rFonts w:ascii="Times New Roman" w:eastAsia="Times New Roman" w:hAnsi="Times New Roman" w:cs="Times New Roman"/>
          <w:color w:val="000000"/>
          <w:sz w:val="24"/>
          <w:szCs w:val="24"/>
        </w:rPr>
        <w:t xml:space="preserve">to get discovery from government agencies under </w:t>
      </w:r>
      <w:proofErr w:type="spellStart"/>
      <w:r w:rsidR="000D2574">
        <w:rPr>
          <w:rFonts w:ascii="Times New Roman" w:eastAsia="Times New Roman" w:hAnsi="Times New Roman" w:cs="Times New Roman"/>
          <w:color w:val="000000"/>
          <w:sz w:val="24"/>
          <w:szCs w:val="24"/>
        </w:rPr>
        <w:t>CrR</w:t>
      </w:r>
      <w:proofErr w:type="spellEnd"/>
      <w:r w:rsidR="000D2574">
        <w:rPr>
          <w:rFonts w:ascii="Times New Roman" w:eastAsia="Times New Roman" w:hAnsi="Times New Roman" w:cs="Times New Roman"/>
          <w:color w:val="000000"/>
          <w:sz w:val="24"/>
          <w:szCs w:val="24"/>
        </w:rPr>
        <w:t xml:space="preserve"> 4.7(a)).</w:t>
      </w:r>
    </w:p>
    <w:p w14:paraId="5DDDF78D" w14:textId="441C470C" w:rsidR="000D2574" w:rsidRDefault="000D2574" w:rsidP="000D2574">
      <w:pPr>
        <w:shd w:val="clear" w:color="auto" w:fill="FFFFFF"/>
        <w:spacing w:after="0" w:line="240" w:lineRule="auto"/>
        <w:rPr>
          <w:rFonts w:ascii="Times New Roman" w:eastAsia="Times New Roman" w:hAnsi="Times New Roman" w:cs="Times New Roman"/>
          <w:color w:val="000000"/>
          <w:sz w:val="24"/>
          <w:szCs w:val="24"/>
        </w:rPr>
      </w:pPr>
    </w:p>
    <w:p w14:paraId="0BDE721A" w14:textId="0B3E6AB1" w:rsidR="000D2574" w:rsidRDefault="00565655" w:rsidP="000D2574">
      <w:pPr>
        <w:shd w:val="clear" w:color="auto" w:fill="FFFFFF"/>
        <w:spacing w:after="0" w:line="240" w:lineRule="auto"/>
        <w:rPr>
          <w:rFonts w:ascii="Times New Roman" w:eastAsia="Times New Roman" w:hAnsi="Times New Roman" w:cs="Times New Roman"/>
          <w:color w:val="000000"/>
          <w:sz w:val="24"/>
          <w:szCs w:val="24"/>
        </w:rPr>
      </w:pPr>
      <w:r w:rsidRPr="00FA2DDE">
        <w:rPr>
          <w:rFonts w:ascii="Times New Roman" w:eastAsia="Times New Roman" w:hAnsi="Times New Roman" w:cs="Times New Roman"/>
          <w:i/>
          <w:iCs/>
          <w:color w:val="000000"/>
          <w:sz w:val="24"/>
          <w:szCs w:val="24"/>
        </w:rPr>
        <w:t>State v. Martinez</w:t>
      </w:r>
      <w:r>
        <w:rPr>
          <w:rFonts w:ascii="Times New Roman" w:eastAsia="Times New Roman" w:hAnsi="Times New Roman" w:cs="Times New Roman"/>
          <w:color w:val="000000"/>
          <w:sz w:val="24"/>
          <w:szCs w:val="24"/>
        </w:rPr>
        <w:t xml:space="preserve">, </w:t>
      </w:r>
      <w:r w:rsidR="00CC36B1">
        <w:rPr>
          <w:rFonts w:ascii="Times New Roman" w:eastAsia="Times New Roman" w:hAnsi="Times New Roman" w:cs="Times New Roman"/>
          <w:color w:val="000000"/>
          <w:sz w:val="24"/>
          <w:szCs w:val="24"/>
        </w:rPr>
        <w:t xml:space="preserve">121 </w:t>
      </w:r>
      <w:proofErr w:type="spellStart"/>
      <w:r w:rsidR="00CC36B1">
        <w:rPr>
          <w:rFonts w:ascii="Times New Roman" w:eastAsia="Times New Roman" w:hAnsi="Times New Roman" w:cs="Times New Roman"/>
          <w:color w:val="000000"/>
          <w:sz w:val="24"/>
          <w:szCs w:val="24"/>
        </w:rPr>
        <w:t>Wn</w:t>
      </w:r>
      <w:proofErr w:type="spellEnd"/>
      <w:r w:rsidR="00CC36B1">
        <w:rPr>
          <w:rFonts w:ascii="Times New Roman" w:eastAsia="Times New Roman" w:hAnsi="Times New Roman" w:cs="Times New Roman"/>
          <w:color w:val="000000"/>
          <w:sz w:val="24"/>
          <w:szCs w:val="24"/>
        </w:rPr>
        <w:t>. App. 21, 86</w:t>
      </w:r>
      <w:r w:rsidR="00DF46F2">
        <w:rPr>
          <w:rFonts w:ascii="Times New Roman" w:eastAsia="Times New Roman" w:hAnsi="Times New Roman" w:cs="Times New Roman"/>
          <w:color w:val="000000"/>
          <w:sz w:val="24"/>
          <w:szCs w:val="24"/>
        </w:rPr>
        <w:t xml:space="preserve"> P.3d 1210 (</w:t>
      </w:r>
      <w:proofErr w:type="gramStart"/>
      <w:r w:rsidR="00DF46F2">
        <w:rPr>
          <w:rFonts w:ascii="Times New Roman" w:eastAsia="Times New Roman" w:hAnsi="Times New Roman" w:cs="Times New Roman"/>
          <w:color w:val="000000"/>
          <w:sz w:val="24"/>
          <w:szCs w:val="24"/>
        </w:rPr>
        <w:t>2004)(</w:t>
      </w:r>
      <w:proofErr w:type="gramEnd"/>
      <w:r w:rsidR="00DF46F2">
        <w:rPr>
          <w:rFonts w:ascii="Times New Roman" w:eastAsia="Times New Roman" w:hAnsi="Times New Roman" w:cs="Times New Roman"/>
          <w:color w:val="000000"/>
          <w:sz w:val="24"/>
          <w:szCs w:val="24"/>
        </w:rPr>
        <w:t>evidence produced mid-trial, defense motion for outrageous conduct</w:t>
      </w:r>
      <w:r w:rsidR="00FA2DDE">
        <w:rPr>
          <w:rFonts w:ascii="Times New Roman" w:eastAsia="Times New Roman" w:hAnsi="Times New Roman" w:cs="Times New Roman"/>
          <w:color w:val="000000"/>
          <w:sz w:val="24"/>
          <w:szCs w:val="24"/>
        </w:rPr>
        <w:t xml:space="preserve"> granted, and upheld upon appeal).</w:t>
      </w:r>
    </w:p>
    <w:p w14:paraId="748FB76E" w14:textId="487CDA77" w:rsidR="00FA2DDE" w:rsidRDefault="00FA2DDE" w:rsidP="000D2574">
      <w:pPr>
        <w:shd w:val="clear" w:color="auto" w:fill="FFFFFF"/>
        <w:spacing w:after="0" w:line="240" w:lineRule="auto"/>
        <w:rPr>
          <w:rFonts w:ascii="Times New Roman" w:eastAsia="Times New Roman" w:hAnsi="Times New Roman" w:cs="Times New Roman"/>
          <w:color w:val="000000"/>
          <w:sz w:val="24"/>
          <w:szCs w:val="24"/>
        </w:rPr>
      </w:pPr>
    </w:p>
    <w:p w14:paraId="1DA14C6D" w14:textId="425B014C" w:rsidR="00602DB2" w:rsidRPr="00602DB2" w:rsidRDefault="00602DB2" w:rsidP="00946AD0">
      <w:pPr>
        <w:spacing w:after="0"/>
        <w:rPr>
          <w:rFonts w:ascii="Times New Roman" w:hAnsi="Times New Roman" w:cs="Times New Roman"/>
          <w:sz w:val="24"/>
          <w:szCs w:val="24"/>
        </w:rPr>
      </w:pPr>
      <w:r w:rsidRPr="00602DB2">
        <w:rPr>
          <w:rFonts w:ascii="Times New Roman" w:hAnsi="Times New Roman" w:cs="Times New Roman"/>
          <w:i/>
          <w:sz w:val="24"/>
          <w:szCs w:val="24"/>
        </w:rPr>
        <w:t>Personal Restraint of Brett</w:t>
      </w:r>
      <w:r w:rsidRPr="00602DB2">
        <w:rPr>
          <w:rFonts w:ascii="Times New Roman" w:hAnsi="Times New Roman" w:cs="Times New Roman"/>
          <w:sz w:val="24"/>
          <w:szCs w:val="24"/>
        </w:rPr>
        <w:t>, 142 Wn.2d 868, 873</w:t>
      </w:r>
      <w:r w:rsidR="00946AD0">
        <w:rPr>
          <w:rFonts w:ascii="Times New Roman" w:hAnsi="Times New Roman" w:cs="Times New Roman"/>
          <w:sz w:val="24"/>
          <w:szCs w:val="24"/>
        </w:rPr>
        <w:t>, 16 P.3d 601</w:t>
      </w:r>
      <w:r w:rsidRPr="00602DB2">
        <w:rPr>
          <w:rFonts w:ascii="Times New Roman" w:hAnsi="Times New Roman" w:cs="Times New Roman"/>
          <w:sz w:val="24"/>
          <w:szCs w:val="24"/>
        </w:rPr>
        <w:t xml:space="preserve"> (2001)</w:t>
      </w:r>
      <w:r w:rsidR="0030160C">
        <w:rPr>
          <w:rFonts w:ascii="Times New Roman" w:hAnsi="Times New Roman" w:cs="Times New Roman"/>
          <w:sz w:val="24"/>
          <w:szCs w:val="24"/>
        </w:rPr>
        <w:t>.</w:t>
      </w:r>
    </w:p>
    <w:p w14:paraId="4B721106" w14:textId="6164BF77" w:rsidR="00711DD5" w:rsidRDefault="00711DD5" w:rsidP="00711DD5">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S</w:t>
      </w:r>
      <w:r w:rsidR="00602DB2" w:rsidRPr="00602DB2">
        <w:rPr>
          <w:rFonts w:ascii="Times New Roman" w:hAnsi="Times New Roman" w:cs="Times New Roman"/>
          <w:sz w:val="24"/>
          <w:szCs w:val="24"/>
        </w:rPr>
        <w:t>imple mismanagement is sufficient, no need for evil or dishonest nature by the state</w:t>
      </w:r>
      <w:r>
        <w:rPr>
          <w:rFonts w:ascii="Times New Roman" w:hAnsi="Times New Roman" w:cs="Times New Roman"/>
          <w:sz w:val="24"/>
          <w:szCs w:val="24"/>
        </w:rPr>
        <w:t>.</w:t>
      </w:r>
    </w:p>
    <w:p w14:paraId="7C193206" w14:textId="3EA1421C" w:rsidR="00602DB2" w:rsidRPr="00711DD5" w:rsidRDefault="00602DB2" w:rsidP="00711DD5">
      <w:pPr>
        <w:pStyle w:val="ListParagraph"/>
        <w:numPr>
          <w:ilvl w:val="0"/>
          <w:numId w:val="8"/>
        </w:numPr>
        <w:rPr>
          <w:rFonts w:ascii="Times New Roman" w:hAnsi="Times New Roman" w:cs="Times New Roman"/>
          <w:sz w:val="24"/>
          <w:szCs w:val="24"/>
        </w:rPr>
      </w:pPr>
      <w:r w:rsidRPr="00711DD5">
        <w:rPr>
          <w:rFonts w:ascii="Times New Roman" w:hAnsi="Times New Roman" w:cs="Times New Roman"/>
          <w:sz w:val="24"/>
          <w:szCs w:val="24"/>
        </w:rPr>
        <w:t>Whether the mismanagement is on the part of law enforcement, the prosecution or both, intentional</w:t>
      </w:r>
      <w:r w:rsidR="00711DD5" w:rsidRPr="00711DD5">
        <w:rPr>
          <w:rFonts w:ascii="Times New Roman" w:hAnsi="Times New Roman" w:cs="Times New Roman"/>
          <w:sz w:val="24"/>
          <w:szCs w:val="24"/>
        </w:rPr>
        <w:t xml:space="preserve"> </w:t>
      </w:r>
      <w:r w:rsidRPr="00711DD5">
        <w:rPr>
          <w:rFonts w:ascii="Times New Roman" w:hAnsi="Times New Roman" w:cs="Times New Roman"/>
          <w:sz w:val="24"/>
          <w:szCs w:val="24"/>
        </w:rPr>
        <w:t>or unintentional</w:t>
      </w:r>
      <w:r w:rsidRPr="00602DB2">
        <w:t xml:space="preserve">, </w:t>
      </w:r>
      <w:r w:rsidRPr="00711DD5">
        <w:rPr>
          <w:rFonts w:ascii="Times New Roman" w:hAnsi="Times New Roman" w:cs="Times New Roman"/>
          <w:sz w:val="24"/>
          <w:szCs w:val="24"/>
        </w:rPr>
        <w:t>it is governmental misconduct and prejudices the defense</w:t>
      </w:r>
      <w:r w:rsidRPr="00711DD5">
        <w:rPr>
          <w:rFonts w:ascii="Times New Roman" w:hAnsi="Times New Roman" w:cs="Times New Roman"/>
          <w:i/>
          <w:iCs/>
          <w:sz w:val="24"/>
          <w:szCs w:val="24"/>
        </w:rPr>
        <w:t>.</w:t>
      </w:r>
      <w:r w:rsidRPr="00711DD5">
        <w:rPr>
          <w:rFonts w:ascii="Times New Roman" w:hAnsi="Times New Roman" w:cs="Times New Roman"/>
          <w:sz w:val="24"/>
          <w:szCs w:val="24"/>
        </w:rPr>
        <w:t xml:space="preserve"> </w:t>
      </w:r>
    </w:p>
    <w:p w14:paraId="6DA0FA6D" w14:textId="3C68AD9A" w:rsidR="00602DB2" w:rsidRPr="00602DB2" w:rsidRDefault="00602DB2" w:rsidP="00711DD5">
      <w:pPr>
        <w:pStyle w:val="ListParagraph"/>
        <w:numPr>
          <w:ilvl w:val="1"/>
          <w:numId w:val="8"/>
        </w:numPr>
        <w:spacing w:after="0" w:line="240" w:lineRule="auto"/>
        <w:jc w:val="both"/>
        <w:rPr>
          <w:rFonts w:ascii="Times New Roman" w:hAnsi="Times New Roman" w:cs="Times New Roman"/>
          <w:sz w:val="24"/>
          <w:szCs w:val="24"/>
        </w:rPr>
      </w:pPr>
      <w:r w:rsidRPr="00602DB2">
        <w:rPr>
          <w:rFonts w:ascii="Times New Roman" w:hAnsi="Times New Roman" w:cs="Times New Roman"/>
          <w:i/>
          <w:sz w:val="24"/>
          <w:szCs w:val="24"/>
        </w:rPr>
        <w:t xml:space="preserve">See </w:t>
      </w:r>
      <w:proofErr w:type="gramStart"/>
      <w:r w:rsidRPr="00602DB2">
        <w:rPr>
          <w:rFonts w:ascii="Times New Roman" w:hAnsi="Times New Roman" w:cs="Times New Roman"/>
          <w:i/>
          <w:sz w:val="24"/>
          <w:szCs w:val="24"/>
        </w:rPr>
        <w:t>e.g.</w:t>
      </w:r>
      <w:proofErr w:type="gramEnd"/>
      <w:r w:rsidRPr="00602DB2">
        <w:rPr>
          <w:rFonts w:ascii="Times New Roman" w:hAnsi="Times New Roman" w:cs="Times New Roman"/>
          <w:i/>
          <w:sz w:val="24"/>
          <w:szCs w:val="24"/>
        </w:rPr>
        <w:t xml:space="preserve"> State v. Blackwell</w:t>
      </w:r>
      <w:r w:rsidRPr="00602DB2">
        <w:rPr>
          <w:rFonts w:ascii="Times New Roman" w:hAnsi="Times New Roman" w:cs="Times New Roman"/>
          <w:sz w:val="24"/>
          <w:szCs w:val="24"/>
        </w:rPr>
        <w:t xml:space="preserve">, 120 Wn.2d 822, </w:t>
      </w:r>
      <w:r w:rsidRPr="0000475B">
        <w:rPr>
          <w:rFonts w:ascii="Times New Roman" w:hAnsi="Times New Roman" w:cs="Times New Roman"/>
          <w:sz w:val="24"/>
          <w:szCs w:val="24"/>
        </w:rPr>
        <w:t>832</w:t>
      </w:r>
      <w:r w:rsidR="0000475B">
        <w:rPr>
          <w:rFonts w:ascii="Times New Roman" w:hAnsi="Times New Roman" w:cs="Times New Roman"/>
          <w:sz w:val="24"/>
          <w:szCs w:val="24"/>
        </w:rPr>
        <w:t xml:space="preserve">, </w:t>
      </w:r>
      <w:r w:rsidR="00E077B3">
        <w:rPr>
          <w:rFonts w:ascii="Times New Roman" w:hAnsi="Times New Roman" w:cs="Times New Roman"/>
          <w:sz w:val="24"/>
          <w:szCs w:val="24"/>
        </w:rPr>
        <w:t xml:space="preserve">845 P.2d 1017 </w:t>
      </w:r>
      <w:r w:rsidRPr="00602DB2">
        <w:rPr>
          <w:rFonts w:ascii="Times New Roman" w:hAnsi="Times New Roman" w:cs="Times New Roman"/>
          <w:sz w:val="24"/>
          <w:szCs w:val="24"/>
        </w:rPr>
        <w:t>(1993)</w:t>
      </w:r>
      <w:r w:rsidR="00E13A58">
        <w:rPr>
          <w:rFonts w:ascii="Times New Roman" w:hAnsi="Times New Roman" w:cs="Times New Roman"/>
          <w:sz w:val="24"/>
          <w:szCs w:val="24"/>
        </w:rPr>
        <w:t>.</w:t>
      </w:r>
      <w:r w:rsidRPr="00602DB2">
        <w:rPr>
          <w:rFonts w:ascii="Times New Roman" w:hAnsi="Times New Roman" w:cs="Times New Roman"/>
          <w:sz w:val="24"/>
          <w:szCs w:val="24"/>
        </w:rPr>
        <w:t xml:space="preserve"> </w:t>
      </w:r>
    </w:p>
    <w:p w14:paraId="53B41751" w14:textId="1A5AD43B" w:rsidR="00602DB2" w:rsidRDefault="00602DB2" w:rsidP="00711DD5">
      <w:pPr>
        <w:pStyle w:val="ListParagraph"/>
        <w:numPr>
          <w:ilvl w:val="1"/>
          <w:numId w:val="8"/>
        </w:numPr>
        <w:spacing w:after="0" w:line="240" w:lineRule="auto"/>
        <w:jc w:val="both"/>
        <w:rPr>
          <w:rFonts w:ascii="Times New Roman" w:hAnsi="Times New Roman" w:cs="Times New Roman"/>
          <w:sz w:val="24"/>
          <w:szCs w:val="24"/>
        </w:rPr>
      </w:pPr>
      <w:r w:rsidRPr="00602DB2">
        <w:rPr>
          <w:rFonts w:ascii="Times New Roman" w:hAnsi="Times New Roman" w:cs="Times New Roman"/>
          <w:i/>
          <w:sz w:val="24"/>
          <w:szCs w:val="24"/>
        </w:rPr>
        <w:t xml:space="preserve">State v. </w:t>
      </w:r>
      <w:proofErr w:type="spellStart"/>
      <w:r w:rsidRPr="00602DB2">
        <w:rPr>
          <w:rFonts w:ascii="Times New Roman" w:hAnsi="Times New Roman" w:cs="Times New Roman"/>
          <w:i/>
          <w:sz w:val="24"/>
          <w:szCs w:val="24"/>
        </w:rPr>
        <w:t>Koerber</w:t>
      </w:r>
      <w:proofErr w:type="spellEnd"/>
      <w:r w:rsidRPr="00602DB2">
        <w:rPr>
          <w:rFonts w:ascii="Times New Roman" w:hAnsi="Times New Roman" w:cs="Times New Roman"/>
          <w:sz w:val="24"/>
          <w:szCs w:val="24"/>
        </w:rPr>
        <w:t xml:space="preserve">, 85 </w:t>
      </w:r>
      <w:proofErr w:type="spellStart"/>
      <w:r w:rsidRPr="00602DB2">
        <w:rPr>
          <w:rFonts w:ascii="Times New Roman" w:hAnsi="Times New Roman" w:cs="Times New Roman"/>
          <w:sz w:val="24"/>
          <w:szCs w:val="24"/>
        </w:rPr>
        <w:t>Wn.App</w:t>
      </w:r>
      <w:proofErr w:type="spellEnd"/>
      <w:r w:rsidRPr="00602DB2">
        <w:rPr>
          <w:rFonts w:ascii="Times New Roman" w:hAnsi="Times New Roman" w:cs="Times New Roman"/>
          <w:sz w:val="24"/>
          <w:szCs w:val="24"/>
        </w:rPr>
        <w:t>. 1, 4</w:t>
      </w:r>
      <w:r w:rsidR="00E077B3">
        <w:rPr>
          <w:rFonts w:ascii="Times New Roman" w:hAnsi="Times New Roman" w:cs="Times New Roman"/>
          <w:sz w:val="24"/>
          <w:szCs w:val="24"/>
        </w:rPr>
        <w:t>, 913 P.2d 904</w:t>
      </w:r>
      <w:r w:rsidRPr="00602DB2">
        <w:rPr>
          <w:rFonts w:ascii="Times New Roman" w:hAnsi="Times New Roman" w:cs="Times New Roman"/>
          <w:sz w:val="24"/>
          <w:szCs w:val="24"/>
        </w:rPr>
        <w:t xml:space="preserve"> (1996).</w:t>
      </w:r>
    </w:p>
    <w:p w14:paraId="298C93C8" w14:textId="77777777" w:rsidR="00711DD5" w:rsidRPr="00602DB2" w:rsidRDefault="00711DD5" w:rsidP="00711DD5">
      <w:pPr>
        <w:pStyle w:val="ListParagraph"/>
        <w:spacing w:after="0" w:line="240" w:lineRule="auto"/>
        <w:ind w:left="1440"/>
        <w:jc w:val="both"/>
        <w:rPr>
          <w:rFonts w:ascii="Times New Roman" w:hAnsi="Times New Roman" w:cs="Times New Roman"/>
          <w:sz w:val="24"/>
          <w:szCs w:val="24"/>
        </w:rPr>
      </w:pPr>
    </w:p>
    <w:p w14:paraId="7E1D05C1" w14:textId="2A79CC12" w:rsidR="00602DB2" w:rsidRPr="00E13A58" w:rsidRDefault="00602DB2" w:rsidP="00711DD5">
      <w:pPr>
        <w:spacing w:after="0" w:line="240" w:lineRule="auto"/>
        <w:jc w:val="both"/>
        <w:rPr>
          <w:rFonts w:ascii="Times New Roman" w:hAnsi="Times New Roman" w:cs="Times New Roman"/>
          <w:sz w:val="24"/>
          <w:szCs w:val="24"/>
        </w:rPr>
      </w:pPr>
      <w:r w:rsidRPr="00E13A58">
        <w:rPr>
          <w:rFonts w:ascii="Times New Roman" w:hAnsi="Times New Roman" w:cs="Times New Roman"/>
          <w:i/>
          <w:iCs/>
          <w:sz w:val="24"/>
          <w:szCs w:val="24"/>
        </w:rPr>
        <w:t xml:space="preserve">State v. </w:t>
      </w:r>
      <w:proofErr w:type="spellStart"/>
      <w:r w:rsidRPr="00E13A58">
        <w:rPr>
          <w:rFonts w:ascii="Times New Roman" w:hAnsi="Times New Roman" w:cs="Times New Roman"/>
          <w:i/>
          <w:iCs/>
          <w:sz w:val="24"/>
          <w:szCs w:val="24"/>
        </w:rPr>
        <w:t>Michielli</w:t>
      </w:r>
      <w:proofErr w:type="spellEnd"/>
      <w:r w:rsidRPr="00E13A58">
        <w:rPr>
          <w:rFonts w:ascii="Times New Roman" w:hAnsi="Times New Roman" w:cs="Times New Roman"/>
          <w:sz w:val="24"/>
          <w:szCs w:val="24"/>
        </w:rPr>
        <w:t>, 132 Wn.2d 229, 243</w:t>
      </w:r>
      <w:r w:rsidR="000D575C">
        <w:rPr>
          <w:rFonts w:ascii="Times New Roman" w:hAnsi="Times New Roman" w:cs="Times New Roman"/>
          <w:sz w:val="24"/>
          <w:szCs w:val="24"/>
        </w:rPr>
        <w:t>, 937 P.2d 587</w:t>
      </w:r>
      <w:r w:rsidRPr="00E13A58">
        <w:rPr>
          <w:rFonts w:ascii="Times New Roman" w:hAnsi="Times New Roman" w:cs="Times New Roman"/>
          <w:sz w:val="24"/>
          <w:szCs w:val="24"/>
        </w:rPr>
        <w:t xml:space="preserve"> (</w:t>
      </w:r>
      <w:proofErr w:type="gramStart"/>
      <w:r w:rsidRPr="000D575C">
        <w:rPr>
          <w:rFonts w:ascii="Times New Roman" w:hAnsi="Times New Roman" w:cs="Times New Roman"/>
          <w:sz w:val="24"/>
          <w:szCs w:val="24"/>
        </w:rPr>
        <w:t>1997</w:t>
      </w:r>
      <w:r w:rsidRPr="00E13A58">
        <w:rPr>
          <w:rFonts w:ascii="Times New Roman" w:hAnsi="Times New Roman" w:cs="Times New Roman"/>
          <w:sz w:val="24"/>
          <w:szCs w:val="24"/>
        </w:rPr>
        <w:t>)</w:t>
      </w:r>
      <w:r w:rsidR="00E17C7E">
        <w:rPr>
          <w:rFonts w:ascii="Times New Roman" w:hAnsi="Times New Roman" w:cs="Times New Roman"/>
          <w:sz w:val="24"/>
          <w:szCs w:val="24"/>
        </w:rPr>
        <w:t>(</w:t>
      </w:r>
      <w:proofErr w:type="gramEnd"/>
      <w:r w:rsidR="00E17C7E" w:rsidRPr="00E13A58">
        <w:rPr>
          <w:rFonts w:ascii="Times New Roman" w:hAnsi="Times New Roman" w:cs="Times New Roman"/>
          <w:sz w:val="24"/>
          <w:szCs w:val="24"/>
        </w:rPr>
        <w:t>ruled that “governmental mismanagement satisfies the ‘misconduct’ element [of 8.3(b)].”</w:t>
      </w:r>
    </w:p>
    <w:p w14:paraId="3A72A7E3" w14:textId="77777777" w:rsidR="00602DB2" w:rsidRPr="00602DB2" w:rsidRDefault="00602DB2" w:rsidP="00711DD5">
      <w:pPr>
        <w:pStyle w:val="ListParagraph"/>
        <w:numPr>
          <w:ilvl w:val="0"/>
          <w:numId w:val="8"/>
        </w:numPr>
        <w:spacing w:after="0" w:line="240" w:lineRule="auto"/>
        <w:jc w:val="both"/>
        <w:rPr>
          <w:rFonts w:ascii="Times New Roman" w:hAnsi="Times New Roman" w:cs="Times New Roman"/>
          <w:sz w:val="24"/>
          <w:szCs w:val="24"/>
        </w:rPr>
      </w:pPr>
      <w:r w:rsidRPr="00602DB2">
        <w:rPr>
          <w:rFonts w:ascii="Times New Roman" w:hAnsi="Times New Roman" w:cs="Times New Roman"/>
          <w:sz w:val="24"/>
          <w:szCs w:val="24"/>
        </w:rPr>
        <w:t xml:space="preserve">HELD: “Defendant was prejudiced in that he was forced to waive his speedy trial right and ask for a continuance to prepare for the surprise charges brought three business days before the scheduled trial.” </w:t>
      </w:r>
      <w:r w:rsidRPr="00602DB2">
        <w:rPr>
          <w:rFonts w:ascii="Times New Roman" w:hAnsi="Times New Roman" w:cs="Times New Roman"/>
          <w:i/>
          <w:iCs/>
          <w:sz w:val="24"/>
          <w:szCs w:val="24"/>
        </w:rPr>
        <w:t>Id</w:t>
      </w:r>
      <w:r w:rsidRPr="00602DB2">
        <w:rPr>
          <w:rFonts w:ascii="Times New Roman" w:hAnsi="Times New Roman" w:cs="Times New Roman"/>
          <w:sz w:val="24"/>
          <w:szCs w:val="24"/>
        </w:rPr>
        <w:t xml:space="preserve">. at 244. </w:t>
      </w:r>
    </w:p>
    <w:p w14:paraId="5B9F8329" w14:textId="77777777" w:rsidR="00602DB2" w:rsidRPr="00602DB2" w:rsidRDefault="00602DB2" w:rsidP="00711DD5">
      <w:pPr>
        <w:pStyle w:val="ListParagraph"/>
        <w:numPr>
          <w:ilvl w:val="0"/>
          <w:numId w:val="8"/>
        </w:numPr>
        <w:spacing w:after="0" w:line="240" w:lineRule="auto"/>
        <w:jc w:val="both"/>
        <w:rPr>
          <w:rFonts w:ascii="Times New Roman" w:hAnsi="Times New Roman" w:cs="Times New Roman"/>
          <w:sz w:val="24"/>
          <w:szCs w:val="24"/>
        </w:rPr>
      </w:pPr>
      <w:r w:rsidRPr="00602DB2">
        <w:rPr>
          <w:rFonts w:ascii="Times New Roman" w:hAnsi="Times New Roman" w:cs="Times New Roman"/>
          <w:color w:val="000000"/>
          <w:sz w:val="24"/>
          <w:szCs w:val="24"/>
        </w:rPr>
        <w:t xml:space="preserve">The Court indicated that speedy trial time limits were mandated as a matter of public policy, with a failure to meet speedy trial limits requiring dismissal with prejudice of the charges against a defendant. </w:t>
      </w:r>
    </w:p>
    <w:p w14:paraId="72CC8009" w14:textId="77777777" w:rsidR="00A37612" w:rsidRPr="00A37612" w:rsidRDefault="00602DB2" w:rsidP="00711DD5">
      <w:pPr>
        <w:pStyle w:val="ListParagraph"/>
        <w:numPr>
          <w:ilvl w:val="1"/>
          <w:numId w:val="8"/>
        </w:numPr>
        <w:spacing w:after="0" w:line="240" w:lineRule="auto"/>
        <w:jc w:val="both"/>
        <w:rPr>
          <w:rFonts w:ascii="Times New Roman" w:hAnsi="Times New Roman" w:cs="Times New Roman"/>
          <w:sz w:val="24"/>
          <w:szCs w:val="24"/>
        </w:rPr>
      </w:pPr>
      <w:proofErr w:type="spellStart"/>
      <w:r w:rsidRPr="00602DB2">
        <w:rPr>
          <w:rFonts w:ascii="Times New Roman" w:hAnsi="Times New Roman" w:cs="Times New Roman"/>
          <w:i/>
          <w:iCs/>
          <w:color w:val="000000"/>
          <w:sz w:val="24"/>
          <w:szCs w:val="24"/>
        </w:rPr>
        <w:t>Michielli</w:t>
      </w:r>
      <w:proofErr w:type="spellEnd"/>
      <w:r w:rsidRPr="00602DB2">
        <w:rPr>
          <w:rFonts w:ascii="Times New Roman" w:hAnsi="Times New Roman" w:cs="Times New Roman"/>
          <w:color w:val="000000"/>
          <w:sz w:val="24"/>
          <w:szCs w:val="24"/>
        </w:rPr>
        <w:t xml:space="preserve"> citing </w:t>
      </w:r>
      <w:r w:rsidRPr="00602DB2">
        <w:rPr>
          <w:rFonts w:ascii="Times New Roman" w:hAnsi="Times New Roman" w:cs="Times New Roman"/>
          <w:i/>
          <w:iCs/>
          <w:color w:val="000000"/>
          <w:sz w:val="24"/>
          <w:szCs w:val="24"/>
        </w:rPr>
        <w:t xml:space="preserve">State v. </w:t>
      </w:r>
      <w:proofErr w:type="spellStart"/>
      <w:r w:rsidRPr="00602DB2">
        <w:rPr>
          <w:rFonts w:ascii="Times New Roman" w:hAnsi="Times New Roman" w:cs="Times New Roman"/>
          <w:i/>
          <w:iCs/>
          <w:color w:val="000000"/>
          <w:sz w:val="24"/>
          <w:szCs w:val="24"/>
        </w:rPr>
        <w:t>Duggins</w:t>
      </w:r>
      <w:proofErr w:type="spellEnd"/>
      <w:r w:rsidRPr="00602DB2">
        <w:rPr>
          <w:rFonts w:ascii="Times New Roman" w:hAnsi="Times New Roman" w:cs="Times New Roman"/>
          <w:i/>
          <w:iCs/>
          <w:color w:val="000000"/>
          <w:sz w:val="24"/>
          <w:szCs w:val="24"/>
        </w:rPr>
        <w:t>,</w:t>
      </w:r>
      <w:r w:rsidRPr="00602DB2">
        <w:rPr>
          <w:rFonts w:ascii="Times New Roman" w:hAnsi="Times New Roman" w:cs="Times New Roman"/>
          <w:color w:val="000000"/>
          <w:sz w:val="24"/>
          <w:szCs w:val="24"/>
        </w:rPr>
        <w:t xml:space="preserve"> 68 </w:t>
      </w:r>
      <w:proofErr w:type="spellStart"/>
      <w:r w:rsidRPr="00602DB2">
        <w:rPr>
          <w:rFonts w:ascii="Times New Roman" w:hAnsi="Times New Roman" w:cs="Times New Roman"/>
          <w:color w:val="000000"/>
          <w:sz w:val="24"/>
          <w:szCs w:val="24"/>
        </w:rPr>
        <w:t>Wn.App</w:t>
      </w:r>
      <w:proofErr w:type="spellEnd"/>
      <w:r w:rsidRPr="00602DB2">
        <w:rPr>
          <w:rFonts w:ascii="Times New Roman" w:hAnsi="Times New Roman" w:cs="Times New Roman"/>
          <w:color w:val="000000"/>
          <w:sz w:val="24"/>
          <w:szCs w:val="24"/>
        </w:rPr>
        <w:t>. 396, 399–400</w:t>
      </w:r>
      <w:r w:rsidR="000D575C">
        <w:rPr>
          <w:rFonts w:ascii="Times New Roman" w:hAnsi="Times New Roman" w:cs="Times New Roman"/>
          <w:color w:val="000000"/>
          <w:sz w:val="24"/>
          <w:szCs w:val="24"/>
        </w:rPr>
        <w:t>, 844 P.2d 441</w:t>
      </w:r>
      <w:r w:rsidRPr="00602DB2">
        <w:rPr>
          <w:rFonts w:ascii="Times New Roman" w:hAnsi="Times New Roman" w:cs="Times New Roman"/>
          <w:color w:val="000000"/>
          <w:sz w:val="24"/>
          <w:szCs w:val="24"/>
        </w:rPr>
        <w:t xml:space="preserve"> (</w:t>
      </w:r>
      <w:r w:rsidRPr="000D575C">
        <w:rPr>
          <w:rFonts w:ascii="Times New Roman" w:hAnsi="Times New Roman" w:cs="Times New Roman"/>
          <w:color w:val="000000"/>
          <w:sz w:val="24"/>
          <w:szCs w:val="24"/>
        </w:rPr>
        <w:t>1993</w:t>
      </w:r>
      <w:r w:rsidRPr="00602DB2">
        <w:rPr>
          <w:rFonts w:ascii="Times New Roman" w:hAnsi="Times New Roman" w:cs="Times New Roman"/>
          <w:color w:val="000000"/>
          <w:sz w:val="24"/>
          <w:szCs w:val="24"/>
        </w:rPr>
        <w:t>).</w:t>
      </w:r>
    </w:p>
    <w:p w14:paraId="331A0615" w14:textId="2C4E57B5" w:rsidR="00602DB2" w:rsidRPr="007A17BF" w:rsidRDefault="00602DB2" w:rsidP="00A37612">
      <w:pPr>
        <w:pStyle w:val="ListParagraph"/>
        <w:spacing w:after="0" w:line="240" w:lineRule="auto"/>
        <w:ind w:left="1440"/>
        <w:jc w:val="both"/>
        <w:rPr>
          <w:rFonts w:ascii="Times New Roman" w:hAnsi="Times New Roman" w:cs="Times New Roman"/>
          <w:sz w:val="24"/>
          <w:szCs w:val="24"/>
        </w:rPr>
      </w:pPr>
      <w:r w:rsidRPr="00602DB2">
        <w:rPr>
          <w:rFonts w:ascii="Times New Roman" w:hAnsi="Times New Roman" w:cs="Times New Roman"/>
          <w:color w:val="000000"/>
          <w:sz w:val="24"/>
          <w:szCs w:val="24"/>
        </w:rPr>
        <w:t xml:space="preserve"> </w:t>
      </w:r>
    </w:p>
    <w:p w14:paraId="1F0CCD1F" w14:textId="5487866E" w:rsidR="00602DB2" w:rsidRDefault="00602DB2" w:rsidP="00711DD5">
      <w:pPr>
        <w:shd w:val="clear" w:color="auto" w:fill="FFFFFF"/>
        <w:spacing w:after="0" w:line="240" w:lineRule="auto"/>
        <w:jc w:val="both"/>
        <w:rPr>
          <w:rFonts w:ascii="Times New Roman" w:hAnsi="Times New Roman" w:cs="Times New Roman"/>
          <w:color w:val="000000"/>
          <w:sz w:val="24"/>
          <w:szCs w:val="24"/>
        </w:rPr>
      </w:pPr>
      <w:r w:rsidRPr="00A91FF7">
        <w:rPr>
          <w:rFonts w:ascii="Times New Roman" w:hAnsi="Times New Roman" w:cs="Times New Roman"/>
          <w:i/>
          <w:iCs/>
          <w:color w:val="000000"/>
          <w:sz w:val="24"/>
          <w:szCs w:val="24"/>
        </w:rPr>
        <w:t>State v. Sherman</w:t>
      </w:r>
      <w:r w:rsidRPr="00A91FF7">
        <w:rPr>
          <w:rFonts w:ascii="Times New Roman" w:hAnsi="Times New Roman" w:cs="Times New Roman"/>
          <w:color w:val="000000"/>
          <w:sz w:val="24"/>
          <w:szCs w:val="24"/>
        </w:rPr>
        <w:t xml:space="preserve">, 59 </w:t>
      </w:r>
      <w:proofErr w:type="spellStart"/>
      <w:r w:rsidRPr="00A91FF7">
        <w:rPr>
          <w:rFonts w:ascii="Times New Roman" w:hAnsi="Times New Roman" w:cs="Times New Roman"/>
          <w:color w:val="000000"/>
          <w:sz w:val="24"/>
          <w:szCs w:val="24"/>
        </w:rPr>
        <w:t>Wn.App</w:t>
      </w:r>
      <w:proofErr w:type="spellEnd"/>
      <w:r w:rsidRPr="00A91FF7">
        <w:rPr>
          <w:rFonts w:ascii="Times New Roman" w:hAnsi="Times New Roman" w:cs="Times New Roman"/>
          <w:color w:val="000000"/>
          <w:sz w:val="24"/>
          <w:szCs w:val="24"/>
        </w:rPr>
        <w:t>. 763, 769</w:t>
      </w:r>
      <w:r w:rsidR="009B3029" w:rsidRPr="00A91FF7">
        <w:rPr>
          <w:rFonts w:ascii="Times New Roman" w:hAnsi="Times New Roman" w:cs="Times New Roman"/>
          <w:color w:val="000000"/>
          <w:sz w:val="24"/>
          <w:szCs w:val="24"/>
        </w:rPr>
        <w:t>, 801 P.2d 274</w:t>
      </w:r>
      <w:r w:rsidRPr="00A91FF7">
        <w:rPr>
          <w:rFonts w:ascii="Times New Roman" w:hAnsi="Times New Roman" w:cs="Times New Roman"/>
          <w:color w:val="000000"/>
          <w:sz w:val="24"/>
          <w:szCs w:val="24"/>
        </w:rPr>
        <w:t xml:space="preserve"> (</w:t>
      </w:r>
      <w:proofErr w:type="gramStart"/>
      <w:r w:rsidRPr="00A91FF7">
        <w:rPr>
          <w:rFonts w:ascii="Times New Roman" w:hAnsi="Times New Roman" w:cs="Times New Roman"/>
          <w:color w:val="000000"/>
          <w:sz w:val="24"/>
          <w:szCs w:val="24"/>
        </w:rPr>
        <w:t>1990)(</w:t>
      </w:r>
      <w:proofErr w:type="gramEnd"/>
      <w:r w:rsidRPr="00A91FF7">
        <w:rPr>
          <w:rFonts w:ascii="Times New Roman" w:hAnsi="Times New Roman" w:cs="Times New Roman"/>
          <w:color w:val="000000"/>
          <w:sz w:val="24"/>
          <w:szCs w:val="24"/>
        </w:rPr>
        <w:t>can’t force Hobson’s choice)</w:t>
      </w:r>
      <w:r w:rsidR="00C90942" w:rsidRPr="00A91FF7">
        <w:rPr>
          <w:rFonts w:ascii="Times New Roman" w:hAnsi="Times New Roman" w:cs="Times New Roman"/>
          <w:color w:val="000000"/>
          <w:sz w:val="24"/>
          <w:szCs w:val="24"/>
        </w:rPr>
        <w:t xml:space="preserve">(see also </w:t>
      </w:r>
      <w:r w:rsidRPr="00A91FF7">
        <w:rPr>
          <w:rFonts w:ascii="Times New Roman" w:hAnsi="Times New Roman" w:cs="Times New Roman"/>
          <w:i/>
          <w:iCs/>
          <w:color w:val="000000"/>
          <w:sz w:val="24"/>
          <w:szCs w:val="24"/>
        </w:rPr>
        <w:t>State v. Price</w:t>
      </w:r>
      <w:r w:rsidRPr="00A91FF7">
        <w:rPr>
          <w:rFonts w:ascii="Times New Roman" w:hAnsi="Times New Roman" w:cs="Times New Roman"/>
          <w:color w:val="000000"/>
          <w:sz w:val="24"/>
          <w:szCs w:val="24"/>
        </w:rPr>
        <w:t>, 94 Wn.2d 810, 814</w:t>
      </w:r>
      <w:r w:rsidR="009B3029" w:rsidRPr="00A91FF7">
        <w:rPr>
          <w:rFonts w:ascii="Times New Roman" w:hAnsi="Times New Roman" w:cs="Times New Roman"/>
          <w:color w:val="000000"/>
          <w:sz w:val="24"/>
          <w:szCs w:val="24"/>
        </w:rPr>
        <w:t>, 620 P.2d 994</w:t>
      </w:r>
      <w:r w:rsidRPr="00A91FF7">
        <w:rPr>
          <w:rFonts w:ascii="Times New Roman" w:hAnsi="Times New Roman" w:cs="Times New Roman"/>
          <w:color w:val="000000"/>
          <w:sz w:val="24"/>
          <w:szCs w:val="24"/>
        </w:rPr>
        <w:t xml:space="preserve"> (1980)</w:t>
      </w:r>
      <w:r w:rsidR="00C90942" w:rsidRPr="00A91FF7">
        <w:rPr>
          <w:rFonts w:ascii="Times New Roman" w:hAnsi="Times New Roman" w:cs="Times New Roman"/>
          <w:color w:val="000000"/>
          <w:sz w:val="24"/>
          <w:szCs w:val="24"/>
        </w:rPr>
        <w:t>).</w:t>
      </w:r>
    </w:p>
    <w:p w14:paraId="6E3D1555" w14:textId="77777777" w:rsidR="00A37612" w:rsidRPr="00A91FF7" w:rsidRDefault="00A37612" w:rsidP="00711DD5">
      <w:pPr>
        <w:shd w:val="clear" w:color="auto" w:fill="FFFFFF"/>
        <w:spacing w:after="0" w:line="240" w:lineRule="auto"/>
        <w:jc w:val="both"/>
        <w:rPr>
          <w:rFonts w:ascii="Times New Roman" w:hAnsi="Times New Roman" w:cs="Times New Roman"/>
          <w:color w:val="000000"/>
          <w:sz w:val="24"/>
          <w:szCs w:val="24"/>
        </w:rPr>
      </w:pPr>
    </w:p>
    <w:p w14:paraId="78D5E975" w14:textId="41B6F985" w:rsidR="00FA2DDE" w:rsidRDefault="00A91FF7" w:rsidP="000D2574">
      <w:pPr>
        <w:shd w:val="clear" w:color="auto" w:fill="FFFFFF"/>
        <w:spacing w:after="0" w:line="240" w:lineRule="auto"/>
        <w:rPr>
          <w:rFonts w:ascii="Times New Roman" w:eastAsia="Times New Roman" w:hAnsi="Times New Roman" w:cs="Times New Roman"/>
          <w:color w:val="000000"/>
          <w:sz w:val="24"/>
          <w:szCs w:val="24"/>
        </w:rPr>
      </w:pPr>
      <w:r w:rsidRPr="009A17C6">
        <w:rPr>
          <w:rFonts w:ascii="Times New Roman" w:eastAsia="Times New Roman" w:hAnsi="Times New Roman" w:cs="Times New Roman"/>
          <w:i/>
          <w:iCs/>
          <w:color w:val="000000"/>
          <w:sz w:val="24"/>
          <w:szCs w:val="24"/>
        </w:rPr>
        <w:t>State v. Martin</w:t>
      </w:r>
      <w:r>
        <w:rPr>
          <w:rFonts w:ascii="Times New Roman" w:eastAsia="Times New Roman" w:hAnsi="Times New Roman" w:cs="Times New Roman"/>
          <w:color w:val="000000"/>
          <w:sz w:val="24"/>
          <w:szCs w:val="24"/>
        </w:rPr>
        <w:t>, 94 Wn.2d 1, 4, 614 P.2d 164, 165 (</w:t>
      </w:r>
      <w:proofErr w:type="gramStart"/>
      <w:r>
        <w:rPr>
          <w:rFonts w:ascii="Times New Roman" w:eastAsia="Times New Roman" w:hAnsi="Times New Roman" w:cs="Times New Roman"/>
          <w:color w:val="000000"/>
          <w:sz w:val="24"/>
          <w:szCs w:val="24"/>
        </w:rPr>
        <w:t>1980)(</w:t>
      </w:r>
      <w:proofErr w:type="gramEnd"/>
      <w:r>
        <w:rPr>
          <w:rFonts w:ascii="Times New Roman" w:eastAsia="Times New Roman" w:hAnsi="Times New Roman" w:cs="Times New Roman"/>
          <w:color w:val="000000"/>
          <w:sz w:val="24"/>
          <w:szCs w:val="24"/>
        </w:rPr>
        <w:t>finding there is no constitutional right to plead guilty at arraignment but the right has been conferred by court rule</w:t>
      </w:r>
      <w:r w:rsidR="00EA45FF">
        <w:rPr>
          <w:rFonts w:ascii="Times New Roman" w:eastAsia="Times New Roman" w:hAnsi="Times New Roman" w:cs="Times New Roman"/>
          <w:color w:val="000000"/>
          <w:sz w:val="24"/>
          <w:szCs w:val="24"/>
        </w:rPr>
        <w:t xml:space="preserve">, </w:t>
      </w:r>
      <w:proofErr w:type="spellStart"/>
      <w:r w:rsidR="00EA45FF">
        <w:rPr>
          <w:rFonts w:ascii="Times New Roman" w:eastAsia="Times New Roman" w:hAnsi="Times New Roman" w:cs="Times New Roman"/>
          <w:color w:val="000000"/>
          <w:sz w:val="24"/>
          <w:szCs w:val="24"/>
        </w:rPr>
        <w:t>CrR</w:t>
      </w:r>
      <w:proofErr w:type="spellEnd"/>
      <w:r w:rsidR="00EA45FF">
        <w:rPr>
          <w:rFonts w:ascii="Times New Roman" w:eastAsia="Times New Roman" w:hAnsi="Times New Roman" w:cs="Times New Roman"/>
          <w:color w:val="000000"/>
          <w:sz w:val="24"/>
          <w:szCs w:val="24"/>
        </w:rPr>
        <w:t xml:space="preserve"> 4.2(a)</w:t>
      </w:r>
      <w:r>
        <w:rPr>
          <w:rFonts w:ascii="Times New Roman" w:eastAsia="Times New Roman" w:hAnsi="Times New Roman" w:cs="Times New Roman"/>
          <w:color w:val="000000"/>
          <w:sz w:val="24"/>
          <w:szCs w:val="24"/>
        </w:rPr>
        <w:t>).</w:t>
      </w:r>
    </w:p>
    <w:p w14:paraId="238F2BB3" w14:textId="13E4D282" w:rsidR="009A17C6" w:rsidRDefault="009A17C6" w:rsidP="009A17C6">
      <w:pPr>
        <w:pStyle w:val="ListParagraph"/>
        <w:numPr>
          <w:ilvl w:val="0"/>
          <w:numId w:val="9"/>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See also </w:t>
      </w:r>
      <w:proofErr w:type="spellStart"/>
      <w:r>
        <w:rPr>
          <w:rFonts w:ascii="Times New Roman" w:eastAsia="Times New Roman" w:hAnsi="Times New Roman" w:cs="Times New Roman"/>
          <w:color w:val="000000"/>
          <w:sz w:val="24"/>
          <w:szCs w:val="24"/>
        </w:rPr>
        <w:t>CrR</w:t>
      </w:r>
      <w:proofErr w:type="spellEnd"/>
      <w:r>
        <w:rPr>
          <w:rFonts w:ascii="Times New Roman" w:eastAsia="Times New Roman" w:hAnsi="Times New Roman" w:cs="Times New Roman"/>
          <w:color w:val="000000"/>
          <w:sz w:val="24"/>
          <w:szCs w:val="24"/>
        </w:rPr>
        <w:t xml:space="preserve"> 4.5(c)(vi).</w:t>
      </w:r>
    </w:p>
    <w:p w14:paraId="4C6C7CF9" w14:textId="6840BD6F" w:rsidR="004965AB" w:rsidRDefault="004965AB" w:rsidP="009A17C6">
      <w:pPr>
        <w:pStyle w:val="ListParagraph"/>
        <w:numPr>
          <w:ilvl w:val="0"/>
          <w:numId w:val="9"/>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Neither the state nor the court can prevent a defendant from pleading guilty when it is made knowingly, competently, voluntarily, unconditionally (as charged), </w:t>
      </w:r>
      <w:r w:rsidR="00031443">
        <w:rPr>
          <w:rFonts w:ascii="Times New Roman" w:eastAsia="Times New Roman" w:hAnsi="Times New Roman" w:cs="Times New Roman"/>
          <w:color w:val="000000"/>
          <w:sz w:val="24"/>
          <w:szCs w:val="24"/>
        </w:rPr>
        <w:t>unequivocally, and on the advice of counsel; “unhampered by a prosecuting attorney’s opinions or desires</w:t>
      </w:r>
      <w:r w:rsidR="00AD70FA">
        <w:rPr>
          <w:rFonts w:ascii="Times New Roman" w:eastAsia="Times New Roman" w:hAnsi="Times New Roman" w:cs="Times New Roman"/>
          <w:color w:val="000000"/>
          <w:sz w:val="24"/>
          <w:szCs w:val="24"/>
        </w:rPr>
        <w:t>.</w:t>
      </w:r>
    </w:p>
    <w:p w14:paraId="16B0380C" w14:textId="676D9882" w:rsidR="00AD70FA" w:rsidRDefault="00AD70FA" w:rsidP="00AD70FA">
      <w:pPr>
        <w:pStyle w:val="ListParagraph"/>
        <w:numPr>
          <w:ilvl w:val="1"/>
          <w:numId w:val="9"/>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In this case that included the state alleging they were about to file death penalty </w:t>
      </w:r>
      <w:proofErr w:type="gramStart"/>
      <w:r>
        <w:rPr>
          <w:rFonts w:ascii="Times New Roman" w:eastAsia="Times New Roman" w:hAnsi="Times New Roman" w:cs="Times New Roman"/>
          <w:color w:val="000000"/>
          <w:sz w:val="24"/>
          <w:szCs w:val="24"/>
        </w:rPr>
        <w:t>notice, but</w:t>
      </w:r>
      <w:proofErr w:type="gramEnd"/>
      <w:r>
        <w:rPr>
          <w:rFonts w:ascii="Times New Roman" w:eastAsia="Times New Roman" w:hAnsi="Times New Roman" w:cs="Times New Roman"/>
          <w:color w:val="000000"/>
          <w:sz w:val="24"/>
          <w:szCs w:val="24"/>
        </w:rPr>
        <w:t xml:space="preserve"> had not yet filed it. Defendant had the right to plead guilty. The state had no right to request a continuance, and the court had no authority to grant one.</w:t>
      </w:r>
    </w:p>
    <w:p w14:paraId="7280A963" w14:textId="5F7A3929" w:rsidR="00C80744" w:rsidRDefault="00C80744" w:rsidP="00C80744">
      <w:pPr>
        <w:shd w:val="clear" w:color="auto" w:fill="FFFFFF"/>
        <w:spacing w:after="0" w:line="240" w:lineRule="auto"/>
        <w:rPr>
          <w:rFonts w:ascii="Times New Roman" w:eastAsia="Times New Roman" w:hAnsi="Times New Roman" w:cs="Times New Roman"/>
          <w:color w:val="000000"/>
          <w:sz w:val="24"/>
          <w:szCs w:val="24"/>
        </w:rPr>
      </w:pPr>
    </w:p>
    <w:p w14:paraId="60556F8A" w14:textId="7E76AF83" w:rsidR="00C80744" w:rsidRDefault="00187B8A" w:rsidP="00C80744">
      <w:pPr>
        <w:shd w:val="clear" w:color="auto" w:fill="FFFFFF"/>
        <w:spacing w:after="0" w:line="240" w:lineRule="auto"/>
        <w:rPr>
          <w:rFonts w:ascii="Times New Roman" w:eastAsia="Times New Roman" w:hAnsi="Times New Roman" w:cs="Times New Roman"/>
          <w:color w:val="000000"/>
          <w:sz w:val="24"/>
          <w:szCs w:val="24"/>
        </w:rPr>
      </w:pPr>
      <w:r w:rsidRPr="00726E3A">
        <w:rPr>
          <w:rFonts w:ascii="Times New Roman" w:eastAsia="Times New Roman" w:hAnsi="Times New Roman" w:cs="Times New Roman"/>
          <w:i/>
          <w:iCs/>
          <w:color w:val="000000"/>
          <w:sz w:val="24"/>
          <w:szCs w:val="24"/>
        </w:rPr>
        <w:t>State v. Linden</w:t>
      </w:r>
      <w:r>
        <w:rPr>
          <w:rFonts w:ascii="Times New Roman" w:eastAsia="Times New Roman" w:hAnsi="Times New Roman" w:cs="Times New Roman"/>
          <w:color w:val="000000"/>
          <w:sz w:val="24"/>
          <w:szCs w:val="24"/>
        </w:rPr>
        <w:t xml:space="preserve">, 89 </w:t>
      </w:r>
      <w:proofErr w:type="spellStart"/>
      <w:r>
        <w:rPr>
          <w:rFonts w:ascii="Times New Roman" w:eastAsia="Times New Roman" w:hAnsi="Times New Roman" w:cs="Times New Roman"/>
          <w:color w:val="000000"/>
          <w:sz w:val="24"/>
          <w:szCs w:val="24"/>
        </w:rPr>
        <w:t>Wn</w:t>
      </w:r>
      <w:proofErr w:type="spellEnd"/>
      <w:r>
        <w:rPr>
          <w:rFonts w:ascii="Times New Roman" w:eastAsia="Times New Roman" w:hAnsi="Times New Roman" w:cs="Times New Roman"/>
          <w:color w:val="000000"/>
          <w:sz w:val="24"/>
          <w:szCs w:val="24"/>
        </w:rPr>
        <w:t xml:space="preserve">. App. 184, 947 P.2d 1284 (1997), </w:t>
      </w:r>
      <w:r w:rsidRPr="00726E3A">
        <w:rPr>
          <w:rFonts w:ascii="Times New Roman" w:eastAsia="Times New Roman" w:hAnsi="Times New Roman" w:cs="Times New Roman"/>
          <w:i/>
          <w:iCs/>
          <w:color w:val="000000"/>
          <w:sz w:val="24"/>
          <w:szCs w:val="24"/>
        </w:rPr>
        <w:t>reconsideration denied, review denied</w:t>
      </w:r>
      <w:r>
        <w:rPr>
          <w:rFonts w:ascii="Times New Roman" w:eastAsia="Times New Roman" w:hAnsi="Times New Roman" w:cs="Times New Roman"/>
          <w:color w:val="000000"/>
          <w:sz w:val="24"/>
          <w:szCs w:val="24"/>
        </w:rPr>
        <w:t xml:space="preserve"> 136 Wn.2d 1018, 966 P.2d 1277</w:t>
      </w:r>
      <w:r w:rsidR="00726E3A">
        <w:rPr>
          <w:rFonts w:ascii="Times New Roman" w:eastAsia="Times New Roman" w:hAnsi="Times New Roman" w:cs="Times New Roman"/>
          <w:color w:val="000000"/>
          <w:sz w:val="24"/>
          <w:szCs w:val="24"/>
        </w:rPr>
        <w:t xml:space="preserve"> (discovery requirements apply to both rebuttal and impeachment evidence).</w:t>
      </w:r>
    </w:p>
    <w:p w14:paraId="2A3821E9" w14:textId="4679C215" w:rsidR="00726E3A" w:rsidRDefault="00726E3A" w:rsidP="00C80744">
      <w:pPr>
        <w:shd w:val="clear" w:color="auto" w:fill="FFFFFF"/>
        <w:spacing w:after="0" w:line="240" w:lineRule="auto"/>
        <w:rPr>
          <w:rFonts w:ascii="Times New Roman" w:eastAsia="Times New Roman" w:hAnsi="Times New Roman" w:cs="Times New Roman"/>
          <w:color w:val="000000"/>
          <w:sz w:val="24"/>
          <w:szCs w:val="24"/>
        </w:rPr>
      </w:pPr>
    </w:p>
    <w:p w14:paraId="59579B68" w14:textId="77777777" w:rsidR="00A37612" w:rsidRDefault="00A37612" w:rsidP="00C80744">
      <w:pPr>
        <w:shd w:val="clear" w:color="auto" w:fill="FFFFFF"/>
        <w:spacing w:after="0" w:line="240" w:lineRule="auto"/>
        <w:rPr>
          <w:rFonts w:ascii="Times New Roman" w:eastAsia="Times New Roman" w:hAnsi="Times New Roman" w:cs="Times New Roman"/>
          <w:i/>
          <w:iCs/>
          <w:color w:val="000000"/>
          <w:sz w:val="24"/>
          <w:szCs w:val="24"/>
        </w:rPr>
      </w:pPr>
    </w:p>
    <w:p w14:paraId="27CE2D0B" w14:textId="77777777" w:rsidR="00A37612" w:rsidRDefault="00A37612" w:rsidP="00C80744">
      <w:pPr>
        <w:shd w:val="clear" w:color="auto" w:fill="FFFFFF"/>
        <w:spacing w:after="0" w:line="240" w:lineRule="auto"/>
        <w:rPr>
          <w:rFonts w:ascii="Times New Roman" w:eastAsia="Times New Roman" w:hAnsi="Times New Roman" w:cs="Times New Roman"/>
          <w:i/>
          <w:iCs/>
          <w:color w:val="000000"/>
          <w:sz w:val="24"/>
          <w:szCs w:val="24"/>
        </w:rPr>
      </w:pPr>
    </w:p>
    <w:p w14:paraId="1FECCC5C" w14:textId="77777777" w:rsidR="00A37612" w:rsidRDefault="00A37612" w:rsidP="00C80744">
      <w:pPr>
        <w:shd w:val="clear" w:color="auto" w:fill="FFFFFF"/>
        <w:spacing w:after="0" w:line="240" w:lineRule="auto"/>
        <w:rPr>
          <w:rFonts w:ascii="Times New Roman" w:eastAsia="Times New Roman" w:hAnsi="Times New Roman" w:cs="Times New Roman"/>
          <w:i/>
          <w:iCs/>
          <w:color w:val="000000"/>
          <w:sz w:val="24"/>
          <w:szCs w:val="24"/>
        </w:rPr>
      </w:pPr>
    </w:p>
    <w:p w14:paraId="28EB4B13" w14:textId="2BA2CF05" w:rsidR="00963F3A" w:rsidRDefault="00963F3A" w:rsidP="00C80744">
      <w:pPr>
        <w:shd w:val="clear" w:color="auto" w:fill="FFFFFF"/>
        <w:spacing w:after="0" w:line="240" w:lineRule="auto"/>
        <w:rPr>
          <w:rFonts w:ascii="Times New Roman" w:eastAsia="Times New Roman" w:hAnsi="Times New Roman" w:cs="Times New Roman"/>
          <w:color w:val="000000"/>
          <w:sz w:val="24"/>
          <w:szCs w:val="24"/>
        </w:rPr>
      </w:pPr>
      <w:r w:rsidRPr="00963F3A">
        <w:rPr>
          <w:rFonts w:ascii="Times New Roman" w:eastAsia="Times New Roman" w:hAnsi="Times New Roman" w:cs="Times New Roman"/>
          <w:i/>
          <w:iCs/>
          <w:color w:val="000000"/>
          <w:sz w:val="24"/>
          <w:szCs w:val="24"/>
        </w:rPr>
        <w:t>State v. Youde</w:t>
      </w:r>
      <w:r>
        <w:rPr>
          <w:rFonts w:ascii="Times New Roman" w:eastAsia="Times New Roman" w:hAnsi="Times New Roman" w:cs="Times New Roman"/>
          <w:color w:val="000000"/>
          <w:sz w:val="24"/>
          <w:szCs w:val="24"/>
        </w:rPr>
        <w:t xml:space="preserve">, 174 </w:t>
      </w:r>
      <w:proofErr w:type="spellStart"/>
      <w:r>
        <w:rPr>
          <w:rFonts w:ascii="Times New Roman" w:eastAsia="Times New Roman" w:hAnsi="Times New Roman" w:cs="Times New Roman"/>
          <w:color w:val="000000"/>
          <w:sz w:val="24"/>
          <w:szCs w:val="24"/>
        </w:rPr>
        <w:t>Wn.App</w:t>
      </w:r>
      <w:proofErr w:type="spellEnd"/>
      <w:r>
        <w:rPr>
          <w:rFonts w:ascii="Times New Roman" w:eastAsia="Times New Roman" w:hAnsi="Times New Roman" w:cs="Times New Roman"/>
          <w:color w:val="000000"/>
          <w:sz w:val="24"/>
          <w:szCs w:val="24"/>
        </w:rPr>
        <w:t>. 873, 301 P.3d 479 (2013).</w:t>
      </w:r>
    </w:p>
    <w:p w14:paraId="2A106F6E" w14:textId="77777777" w:rsidR="00963F3A" w:rsidRDefault="00572539" w:rsidP="00963F3A">
      <w:pPr>
        <w:pStyle w:val="ListParagraph"/>
        <w:numPr>
          <w:ilvl w:val="0"/>
          <w:numId w:val="10"/>
        </w:numPr>
        <w:shd w:val="clear" w:color="auto" w:fill="FFFFFF"/>
        <w:spacing w:after="0" w:line="240" w:lineRule="auto"/>
        <w:rPr>
          <w:rFonts w:ascii="Times New Roman" w:eastAsia="Times New Roman" w:hAnsi="Times New Roman" w:cs="Times New Roman"/>
          <w:color w:val="000000"/>
          <w:sz w:val="24"/>
          <w:szCs w:val="24"/>
        </w:rPr>
      </w:pPr>
      <w:r w:rsidRPr="00963F3A">
        <w:rPr>
          <w:rFonts w:ascii="Times New Roman" w:eastAsia="Times New Roman" w:hAnsi="Times New Roman" w:cs="Times New Roman"/>
          <w:color w:val="000000"/>
          <w:sz w:val="24"/>
          <w:szCs w:val="24"/>
        </w:rPr>
        <w:t>If the state doesn’t assist obtaining discovery from other government agencies, ask for a court order.</w:t>
      </w:r>
    </w:p>
    <w:p w14:paraId="481782AF" w14:textId="538F8B94" w:rsidR="00726E3A" w:rsidRDefault="00572539" w:rsidP="00963F3A">
      <w:pPr>
        <w:pStyle w:val="ListParagraph"/>
        <w:numPr>
          <w:ilvl w:val="0"/>
          <w:numId w:val="10"/>
        </w:numPr>
        <w:shd w:val="clear" w:color="auto" w:fill="FFFFFF"/>
        <w:spacing w:after="0" w:line="240" w:lineRule="auto"/>
        <w:rPr>
          <w:rFonts w:ascii="Times New Roman" w:eastAsia="Times New Roman" w:hAnsi="Times New Roman" w:cs="Times New Roman"/>
          <w:color w:val="000000"/>
          <w:sz w:val="24"/>
          <w:szCs w:val="24"/>
        </w:rPr>
      </w:pPr>
      <w:r w:rsidRPr="00963F3A">
        <w:rPr>
          <w:rFonts w:ascii="Times New Roman" w:eastAsia="Times New Roman" w:hAnsi="Times New Roman" w:cs="Times New Roman"/>
          <w:color w:val="000000"/>
          <w:sz w:val="24"/>
          <w:szCs w:val="24"/>
        </w:rPr>
        <w:t>Show material</w:t>
      </w:r>
      <w:r w:rsidR="00963F3A" w:rsidRPr="00963F3A">
        <w:rPr>
          <w:rFonts w:ascii="Times New Roman" w:eastAsia="Times New Roman" w:hAnsi="Times New Roman" w:cs="Times New Roman"/>
          <w:color w:val="000000"/>
          <w:sz w:val="24"/>
          <w:szCs w:val="24"/>
        </w:rPr>
        <w:t xml:space="preserve">ity of the needed information to prevent being overturned. </w:t>
      </w:r>
    </w:p>
    <w:p w14:paraId="44EA8495" w14:textId="7207799D" w:rsidR="00963F3A" w:rsidRDefault="00963F3A" w:rsidP="00963F3A">
      <w:pPr>
        <w:shd w:val="clear" w:color="auto" w:fill="FFFFFF"/>
        <w:spacing w:after="0" w:line="240" w:lineRule="auto"/>
        <w:rPr>
          <w:rFonts w:ascii="Times New Roman" w:eastAsia="Times New Roman" w:hAnsi="Times New Roman" w:cs="Times New Roman"/>
          <w:color w:val="000000"/>
          <w:sz w:val="24"/>
          <w:szCs w:val="24"/>
        </w:rPr>
      </w:pPr>
    </w:p>
    <w:p w14:paraId="6DD5E186" w14:textId="61E5F45F" w:rsidR="009A17C6" w:rsidRDefault="00510EFF" w:rsidP="009A17C6">
      <w:pPr>
        <w:shd w:val="clear" w:color="auto" w:fill="FFFFFF"/>
        <w:spacing w:after="0" w:line="240" w:lineRule="auto"/>
        <w:rPr>
          <w:rFonts w:ascii="Times New Roman" w:eastAsia="Times New Roman" w:hAnsi="Times New Roman" w:cs="Times New Roman"/>
          <w:color w:val="000000"/>
          <w:sz w:val="24"/>
          <w:szCs w:val="24"/>
        </w:rPr>
      </w:pPr>
      <w:r w:rsidRPr="009A17C6">
        <w:rPr>
          <w:rFonts w:ascii="Times New Roman" w:eastAsia="Times New Roman" w:hAnsi="Times New Roman" w:cs="Times New Roman"/>
          <w:i/>
          <w:iCs/>
          <w:color w:val="000000"/>
          <w:sz w:val="24"/>
          <w:szCs w:val="24"/>
        </w:rPr>
        <w:t>State v. Martin</w:t>
      </w:r>
      <w:r>
        <w:rPr>
          <w:rFonts w:ascii="Times New Roman" w:eastAsia="Times New Roman" w:hAnsi="Times New Roman" w:cs="Times New Roman"/>
          <w:color w:val="000000"/>
          <w:sz w:val="24"/>
          <w:szCs w:val="24"/>
        </w:rPr>
        <w:t>, 94 Wn.2d 1, 4, 614 P.2d 164, 165 (</w:t>
      </w:r>
      <w:proofErr w:type="gramStart"/>
      <w:r>
        <w:rPr>
          <w:rFonts w:ascii="Times New Roman" w:eastAsia="Times New Roman" w:hAnsi="Times New Roman" w:cs="Times New Roman"/>
          <w:color w:val="000000"/>
          <w:sz w:val="24"/>
          <w:szCs w:val="24"/>
        </w:rPr>
        <w:t>1980</w:t>
      </w:r>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a defendant has a right</w:t>
      </w:r>
      <w:r w:rsidR="00884262">
        <w:rPr>
          <w:rFonts w:ascii="Times New Roman" w:eastAsia="Times New Roman" w:hAnsi="Times New Roman" w:cs="Times New Roman"/>
          <w:color w:val="000000"/>
          <w:sz w:val="24"/>
          <w:szCs w:val="24"/>
        </w:rPr>
        <w:t xml:space="preserve"> to be informed of the consequences of his/her plea before a plea is accepted).</w:t>
      </w:r>
    </w:p>
    <w:p w14:paraId="4DDCC0A5" w14:textId="28D75581" w:rsidR="007925D4" w:rsidRDefault="007925D4" w:rsidP="009A17C6">
      <w:pPr>
        <w:shd w:val="clear" w:color="auto" w:fill="FFFFFF"/>
        <w:spacing w:after="0" w:line="240" w:lineRule="auto"/>
        <w:rPr>
          <w:rFonts w:ascii="Times New Roman" w:eastAsia="Times New Roman" w:hAnsi="Times New Roman" w:cs="Times New Roman"/>
          <w:color w:val="000000"/>
          <w:sz w:val="24"/>
          <w:szCs w:val="24"/>
        </w:rPr>
      </w:pPr>
    </w:p>
    <w:p w14:paraId="67F80E5A" w14:textId="04879D2A" w:rsidR="007925D4" w:rsidRDefault="007925D4" w:rsidP="009A17C6">
      <w:pPr>
        <w:shd w:val="clear" w:color="auto" w:fill="FFFFFF"/>
        <w:spacing w:after="0" w:line="240" w:lineRule="auto"/>
        <w:rPr>
          <w:rFonts w:ascii="Times New Roman" w:eastAsia="Times New Roman" w:hAnsi="Times New Roman" w:cs="Times New Roman"/>
          <w:color w:val="000000"/>
          <w:sz w:val="24"/>
          <w:szCs w:val="24"/>
        </w:rPr>
      </w:pPr>
      <w:r w:rsidRPr="00971E5A">
        <w:rPr>
          <w:rFonts w:ascii="Times New Roman" w:eastAsia="Times New Roman" w:hAnsi="Times New Roman" w:cs="Times New Roman"/>
          <w:i/>
          <w:iCs/>
          <w:color w:val="000000"/>
          <w:sz w:val="24"/>
          <w:szCs w:val="24"/>
        </w:rPr>
        <w:t>U.S. v. Morris</w:t>
      </w:r>
      <w:r>
        <w:rPr>
          <w:rFonts w:ascii="Times New Roman" w:eastAsia="Times New Roman" w:hAnsi="Times New Roman" w:cs="Times New Roman"/>
          <w:color w:val="000000"/>
          <w:sz w:val="24"/>
          <w:szCs w:val="24"/>
        </w:rPr>
        <w:t>, 470 F.3d 596 (</w:t>
      </w:r>
      <w:proofErr w:type="gramStart"/>
      <w:r>
        <w:rPr>
          <w:rFonts w:ascii="Times New Roman" w:eastAsia="Times New Roman" w:hAnsi="Times New Roman" w:cs="Times New Roman"/>
          <w:color w:val="000000"/>
          <w:sz w:val="24"/>
          <w:szCs w:val="24"/>
        </w:rPr>
        <w:t>200</w:t>
      </w:r>
      <w:r w:rsidR="00971E5A">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w:t>
      </w:r>
      <w:r w:rsidR="009B1320">
        <w:rPr>
          <w:rFonts w:ascii="Times New Roman" w:eastAsia="Times New Roman" w:hAnsi="Times New Roman" w:cs="Times New Roman"/>
          <w:color w:val="000000"/>
          <w:sz w:val="24"/>
          <w:szCs w:val="24"/>
        </w:rPr>
        <w:t>(</w:t>
      </w:r>
      <w:proofErr w:type="gramEnd"/>
      <w:r w:rsidR="009B1320">
        <w:rPr>
          <w:rFonts w:ascii="Times New Roman" w:eastAsia="Times New Roman" w:hAnsi="Times New Roman" w:cs="Times New Roman"/>
          <w:color w:val="000000"/>
          <w:sz w:val="24"/>
          <w:szCs w:val="24"/>
        </w:rPr>
        <w:t>the prosecutor has a duty to provide accurate information about the consequences of forgoing a plea).</w:t>
      </w:r>
    </w:p>
    <w:p w14:paraId="61A50EA0" w14:textId="142EFD13" w:rsidR="009B1320" w:rsidRDefault="009B1320" w:rsidP="009A17C6">
      <w:pPr>
        <w:shd w:val="clear" w:color="auto" w:fill="FFFFFF"/>
        <w:spacing w:after="0" w:line="240" w:lineRule="auto"/>
        <w:rPr>
          <w:rFonts w:ascii="Times New Roman" w:eastAsia="Times New Roman" w:hAnsi="Times New Roman" w:cs="Times New Roman"/>
          <w:color w:val="000000"/>
          <w:sz w:val="24"/>
          <w:szCs w:val="24"/>
        </w:rPr>
      </w:pPr>
    </w:p>
    <w:p w14:paraId="51AE19B7" w14:textId="4C117206" w:rsidR="00E773C1" w:rsidRPr="00DC38A4" w:rsidRDefault="00E773C1" w:rsidP="00E40AB0">
      <w:pPr>
        <w:pStyle w:val="paragraph"/>
        <w:textAlignment w:val="baseline"/>
        <w:rPr>
          <w:rFonts w:asciiTheme="minorHAnsi" w:hAnsiTheme="minorHAnsi" w:cstheme="minorHAnsi"/>
          <w:sz w:val="28"/>
          <w:szCs w:val="28"/>
        </w:rPr>
      </w:pPr>
      <w:r w:rsidRPr="00DC38A4">
        <w:rPr>
          <w:rFonts w:asciiTheme="minorHAnsi" w:hAnsiTheme="minorHAnsi" w:cstheme="minorHAnsi"/>
          <w:b/>
          <w:bCs/>
          <w:color w:val="0000FF"/>
          <w:sz w:val="28"/>
          <w:szCs w:val="28"/>
          <w:u w:val="single"/>
        </w:rPr>
        <w:t>Resources</w:t>
      </w:r>
      <w:r w:rsidRPr="00DC38A4">
        <w:rPr>
          <w:rFonts w:asciiTheme="minorHAnsi" w:hAnsiTheme="minorHAnsi" w:cstheme="minorHAnsi"/>
          <w:sz w:val="28"/>
          <w:szCs w:val="28"/>
        </w:rPr>
        <w:t>:</w:t>
      </w:r>
    </w:p>
    <w:p w14:paraId="0347DFE1" w14:textId="66FB7D1D" w:rsidR="00527B5B" w:rsidRPr="006A4B32" w:rsidRDefault="00E773C1" w:rsidP="006A4B32">
      <w:pPr>
        <w:pStyle w:val="paragraph"/>
        <w:textAlignment w:val="baseline"/>
        <w:rPr>
          <w:rFonts w:asciiTheme="minorHAnsi" w:hAnsiTheme="minorHAnsi" w:cstheme="minorHAnsi"/>
          <w:b/>
          <w:bCs/>
          <w:color w:val="0000FF"/>
          <w:sz w:val="28"/>
          <w:szCs w:val="28"/>
        </w:rPr>
      </w:pPr>
      <w:r w:rsidRPr="0090216A">
        <w:rPr>
          <w:rFonts w:asciiTheme="minorHAnsi" w:hAnsiTheme="minorHAnsi" w:cstheme="minorHAnsi"/>
          <w:b/>
          <w:bCs/>
          <w:color w:val="0000FF"/>
          <w:sz w:val="28"/>
          <w:szCs w:val="28"/>
          <w:u w:val="single"/>
        </w:rPr>
        <w:t xml:space="preserve">Link </w:t>
      </w:r>
      <w:r w:rsidR="00C47072">
        <w:rPr>
          <w:rFonts w:asciiTheme="minorHAnsi" w:hAnsiTheme="minorHAnsi" w:cstheme="minorHAnsi"/>
          <w:b/>
          <w:bCs/>
          <w:color w:val="0000FF"/>
          <w:sz w:val="28"/>
          <w:szCs w:val="28"/>
          <w:u w:val="single"/>
        </w:rPr>
        <w:t>&amp;</w:t>
      </w:r>
      <w:r w:rsidRPr="0090216A">
        <w:rPr>
          <w:rFonts w:asciiTheme="minorHAnsi" w:hAnsiTheme="minorHAnsi" w:cstheme="minorHAnsi"/>
          <w:b/>
          <w:bCs/>
          <w:color w:val="0000FF"/>
          <w:sz w:val="28"/>
          <w:szCs w:val="28"/>
          <w:u w:val="single"/>
        </w:rPr>
        <w:t xml:space="preserve"> motions</w:t>
      </w:r>
      <w:r w:rsidR="00C02B6E" w:rsidRPr="0090216A">
        <w:rPr>
          <w:rFonts w:asciiTheme="minorHAnsi" w:hAnsiTheme="minorHAnsi" w:cstheme="minorHAnsi"/>
          <w:b/>
          <w:bCs/>
          <w:color w:val="0000FF"/>
          <w:sz w:val="28"/>
          <w:szCs w:val="28"/>
          <w:u w:val="single"/>
        </w:rPr>
        <w:t xml:space="preserve"> and practice advisories on WDA Website</w:t>
      </w:r>
      <w:r w:rsidR="00C02B6E" w:rsidRPr="0090216A">
        <w:rPr>
          <w:rFonts w:asciiTheme="minorHAnsi" w:hAnsiTheme="minorHAnsi" w:cstheme="minorHAnsi"/>
          <w:b/>
          <w:bCs/>
          <w:color w:val="0000FF"/>
          <w:sz w:val="28"/>
          <w:szCs w:val="28"/>
        </w:rPr>
        <w:t>:</w:t>
      </w:r>
    </w:p>
    <w:p w14:paraId="33EDC6EB" w14:textId="6208B656" w:rsidR="00F0784E" w:rsidRPr="00051953" w:rsidRDefault="00F0784E" w:rsidP="003A6582">
      <w:pPr>
        <w:pStyle w:val="NoSpacing"/>
        <w:rPr>
          <w:b/>
          <w:bCs/>
        </w:rPr>
      </w:pPr>
      <w:r w:rsidRPr="00051953">
        <w:rPr>
          <w:b/>
          <w:bCs/>
        </w:rPr>
        <w:t xml:space="preserve">Motion to compel </w:t>
      </w:r>
      <w:r w:rsidR="003A6582" w:rsidRPr="00051953">
        <w:rPr>
          <w:b/>
          <w:bCs/>
        </w:rPr>
        <w:t xml:space="preserve">an </w:t>
      </w:r>
      <w:proofErr w:type="gramStart"/>
      <w:r w:rsidR="003A6582" w:rsidRPr="00051953">
        <w:rPr>
          <w:b/>
          <w:bCs/>
        </w:rPr>
        <w:t>in person</w:t>
      </w:r>
      <w:proofErr w:type="gramEnd"/>
      <w:r w:rsidR="003A6582" w:rsidRPr="00051953">
        <w:rPr>
          <w:b/>
          <w:bCs/>
        </w:rPr>
        <w:t xml:space="preserve"> </w:t>
      </w:r>
      <w:r w:rsidRPr="00051953">
        <w:rPr>
          <w:b/>
          <w:bCs/>
        </w:rPr>
        <w:t>witness interview</w:t>
      </w:r>
      <w:r w:rsidR="003A6582" w:rsidRPr="00051953">
        <w:rPr>
          <w:b/>
          <w:bCs/>
        </w:rPr>
        <w:t xml:space="preserve"> or deposition</w:t>
      </w:r>
    </w:p>
    <w:p w14:paraId="07A37052" w14:textId="15A9960C" w:rsidR="003A6582" w:rsidRPr="00987822" w:rsidRDefault="00800334" w:rsidP="003A6582">
      <w:pPr>
        <w:pStyle w:val="NoSpacing"/>
      </w:pPr>
      <w:hyperlink r:id="rId12" w:history="1">
        <w:r w:rsidR="003A6582" w:rsidRPr="00987822">
          <w:rPr>
            <w:rStyle w:val="Hyperlink"/>
            <w:rFonts w:cstheme="minorHAnsi"/>
          </w:rPr>
          <w:t>https://defensenet.org/resources/motion-to-compel-in-person-interview-or-deposition-3-2020/</w:t>
        </w:r>
      </w:hyperlink>
    </w:p>
    <w:p w14:paraId="25EDFBD0" w14:textId="77777777" w:rsidR="00051953" w:rsidRDefault="00051953" w:rsidP="003A6582">
      <w:pPr>
        <w:pStyle w:val="NoSpacing"/>
      </w:pPr>
    </w:p>
    <w:p w14:paraId="4655A046" w14:textId="1455A027" w:rsidR="00134C10" w:rsidRPr="00051953" w:rsidRDefault="00134C10" w:rsidP="00051953">
      <w:pPr>
        <w:pStyle w:val="NoSpacing"/>
        <w:rPr>
          <w:b/>
          <w:bCs/>
        </w:rPr>
      </w:pPr>
      <w:r w:rsidRPr="00051953">
        <w:rPr>
          <w:b/>
          <w:bCs/>
        </w:rPr>
        <w:t>Practice Advisory for obtaining privileged records, other than CPS</w:t>
      </w:r>
      <w:r w:rsidR="001D51B7" w:rsidRPr="00051953">
        <w:rPr>
          <w:b/>
          <w:bCs/>
        </w:rPr>
        <w:t xml:space="preserve"> (2015)</w:t>
      </w:r>
    </w:p>
    <w:p w14:paraId="25F4E249" w14:textId="72AFB20C" w:rsidR="00C02B6E" w:rsidRDefault="00800334" w:rsidP="00051953">
      <w:pPr>
        <w:pStyle w:val="NoSpacing"/>
        <w:rPr>
          <w:rStyle w:val="Hyperlink"/>
          <w:rFonts w:cstheme="minorHAnsi"/>
        </w:rPr>
      </w:pPr>
      <w:hyperlink r:id="rId13" w:history="1">
        <w:r w:rsidR="00C02B6E" w:rsidRPr="000C7936">
          <w:rPr>
            <w:rStyle w:val="Hyperlink"/>
            <w:rFonts w:cstheme="minorHAnsi"/>
          </w:rPr>
          <w:t>https://defensenet.org/resources/obtaining-privileged-records-other-than-cps-7-2015/</w:t>
        </w:r>
      </w:hyperlink>
    </w:p>
    <w:p w14:paraId="4154ACD9" w14:textId="77777777" w:rsidR="00051953" w:rsidRDefault="00051953" w:rsidP="00051953">
      <w:pPr>
        <w:pStyle w:val="NoSpacing"/>
      </w:pPr>
    </w:p>
    <w:p w14:paraId="7517DDB6" w14:textId="27913D21" w:rsidR="00897038" w:rsidRPr="00051953" w:rsidRDefault="00897038" w:rsidP="00051953">
      <w:pPr>
        <w:pStyle w:val="NoSpacing"/>
        <w:rPr>
          <w:b/>
          <w:bCs/>
        </w:rPr>
      </w:pPr>
      <w:r w:rsidRPr="00051953">
        <w:rPr>
          <w:b/>
          <w:bCs/>
        </w:rPr>
        <w:t>Motion to obtain CPS records</w:t>
      </w:r>
      <w:r w:rsidR="001D51B7" w:rsidRPr="00051953">
        <w:rPr>
          <w:b/>
          <w:bCs/>
        </w:rPr>
        <w:t xml:space="preserve"> (2016)</w:t>
      </w:r>
    </w:p>
    <w:p w14:paraId="09E2E0D3" w14:textId="4F41155D" w:rsidR="001D51B7" w:rsidRDefault="00800334" w:rsidP="00051953">
      <w:pPr>
        <w:pStyle w:val="NoSpacing"/>
        <w:rPr>
          <w:color w:val="0070C0"/>
        </w:rPr>
      </w:pPr>
      <w:hyperlink r:id="rId14" w:history="1">
        <w:r w:rsidR="0090216A" w:rsidRPr="00527B5B">
          <w:rPr>
            <w:rStyle w:val="Hyperlink"/>
            <w:rFonts w:cstheme="minorHAnsi"/>
            <w:color w:val="0070C0"/>
          </w:rPr>
          <w:t>https://defensenet.org/resources/motion-for-cps-records-2016/</w:t>
        </w:r>
      </w:hyperlink>
    </w:p>
    <w:p w14:paraId="0EDD6109" w14:textId="5DE05E59" w:rsidR="00896DB4" w:rsidRDefault="00896DB4" w:rsidP="00051953">
      <w:pPr>
        <w:pStyle w:val="NoSpacing"/>
        <w:rPr>
          <w:color w:val="0070C0"/>
        </w:rPr>
      </w:pPr>
    </w:p>
    <w:p w14:paraId="0390727F" w14:textId="3BCAB178" w:rsidR="00896DB4" w:rsidRPr="00987822" w:rsidRDefault="00896DB4" w:rsidP="00051953">
      <w:pPr>
        <w:pStyle w:val="NoSpacing"/>
        <w:rPr>
          <w:b/>
          <w:bCs/>
        </w:rPr>
      </w:pPr>
      <w:r w:rsidRPr="00987822">
        <w:rPr>
          <w:b/>
          <w:bCs/>
        </w:rPr>
        <w:t>SDT for CPS records</w:t>
      </w:r>
    </w:p>
    <w:p w14:paraId="6A071C70" w14:textId="39C4AE00" w:rsidR="00896DB4" w:rsidRDefault="00800334" w:rsidP="00051953">
      <w:pPr>
        <w:pStyle w:val="NoSpacing"/>
        <w:rPr>
          <w:color w:val="0070C0"/>
        </w:rPr>
      </w:pPr>
      <w:hyperlink r:id="rId15" w:history="1">
        <w:r w:rsidR="00CB7CC7" w:rsidRPr="00753AD8">
          <w:rPr>
            <w:rStyle w:val="Hyperlink"/>
          </w:rPr>
          <w:t>https://defensenet.org/resources/sdt-for-cps/</w:t>
        </w:r>
      </w:hyperlink>
    </w:p>
    <w:p w14:paraId="5DC7A6C9" w14:textId="58FBA929" w:rsidR="00CB7CC7" w:rsidRDefault="00CB7CC7" w:rsidP="00051953">
      <w:pPr>
        <w:pStyle w:val="NoSpacing"/>
        <w:rPr>
          <w:color w:val="0070C0"/>
        </w:rPr>
      </w:pPr>
    </w:p>
    <w:p w14:paraId="49956BC0" w14:textId="339FAC2A" w:rsidR="00C47072" w:rsidRDefault="00C47072" w:rsidP="00051953">
      <w:pPr>
        <w:pStyle w:val="NoSpacing"/>
        <w:rPr>
          <w:b/>
          <w:bCs/>
        </w:rPr>
      </w:pPr>
      <w:r w:rsidRPr="00DC38A4">
        <w:rPr>
          <w:b/>
          <w:bCs/>
        </w:rPr>
        <w:t>Motion for Discovery Violation Sanctions – 2 Arguments</w:t>
      </w:r>
      <w:r w:rsidR="00DC38A4" w:rsidRPr="00DC38A4">
        <w:rPr>
          <w:b/>
          <w:bCs/>
        </w:rPr>
        <w:t xml:space="preserve"> (attached </w:t>
      </w:r>
      <w:r w:rsidR="00B8704E">
        <w:rPr>
          <w:b/>
          <w:bCs/>
        </w:rPr>
        <w:t>motions</w:t>
      </w:r>
      <w:r w:rsidR="00DC38A4" w:rsidRPr="00DC38A4">
        <w:rPr>
          <w:b/>
          <w:bCs/>
        </w:rPr>
        <w:t>)</w:t>
      </w:r>
    </w:p>
    <w:p w14:paraId="07DCE23F" w14:textId="77777777" w:rsidR="00EE0A0B" w:rsidRPr="00AC47E4" w:rsidRDefault="00EE0A0B" w:rsidP="00EE0A0B">
      <w:pPr>
        <w:pStyle w:val="NoSpacing"/>
        <w:rPr>
          <w:b/>
          <w:bCs/>
        </w:rPr>
      </w:pPr>
      <w:r w:rsidRPr="00AC47E4">
        <w:rPr>
          <w:b/>
          <w:bCs/>
        </w:rPr>
        <w:t>Attorney General Procedure for Obtaining CPS Records (attached)</w:t>
      </w:r>
    </w:p>
    <w:p w14:paraId="0F9CA7C5" w14:textId="51DA436B" w:rsidR="00EE0A0B" w:rsidRDefault="00B57FA3" w:rsidP="00051953">
      <w:pPr>
        <w:pStyle w:val="NoSpacing"/>
        <w:rPr>
          <w:b/>
          <w:bCs/>
        </w:rPr>
      </w:pPr>
      <w:r>
        <w:rPr>
          <w:b/>
          <w:bCs/>
        </w:rPr>
        <w:t xml:space="preserve">Defense Motion </w:t>
      </w:r>
      <w:proofErr w:type="gramStart"/>
      <w:r>
        <w:rPr>
          <w:b/>
          <w:bCs/>
        </w:rPr>
        <w:t>To</w:t>
      </w:r>
      <w:proofErr w:type="gramEnd"/>
      <w:r>
        <w:rPr>
          <w:b/>
          <w:bCs/>
        </w:rPr>
        <w:t xml:space="preserve"> Dismiss For Violations of Speedy Trial (attached)</w:t>
      </w:r>
    </w:p>
    <w:p w14:paraId="3D594E64" w14:textId="2361A3DE" w:rsidR="00B46FE1" w:rsidRDefault="00B46FE1" w:rsidP="00051953">
      <w:pPr>
        <w:pStyle w:val="NoSpacing"/>
        <w:rPr>
          <w:b/>
          <w:bCs/>
        </w:rPr>
      </w:pPr>
      <w:r>
        <w:rPr>
          <w:b/>
          <w:bCs/>
        </w:rPr>
        <w:t>Motion to Interview a Witness Prior to Trial (</w:t>
      </w:r>
      <w:proofErr w:type="gramStart"/>
      <w:r>
        <w:rPr>
          <w:b/>
          <w:bCs/>
        </w:rPr>
        <w:t>2014)(</w:t>
      </w:r>
      <w:proofErr w:type="gramEnd"/>
      <w:r>
        <w:rPr>
          <w:b/>
          <w:bCs/>
        </w:rPr>
        <w:t>attached)</w:t>
      </w:r>
    </w:p>
    <w:p w14:paraId="6FCB9352" w14:textId="77777777" w:rsidR="00B57FA3" w:rsidRPr="00DC38A4" w:rsidRDefault="00B57FA3" w:rsidP="00051953">
      <w:pPr>
        <w:pStyle w:val="NoSpacing"/>
        <w:rPr>
          <w:b/>
          <w:bCs/>
        </w:rPr>
      </w:pPr>
    </w:p>
    <w:p w14:paraId="7B7D867D" w14:textId="77777777" w:rsidR="002E2E86" w:rsidRPr="00527B5B" w:rsidRDefault="002E2E86" w:rsidP="00051953">
      <w:pPr>
        <w:pStyle w:val="NoSpacing"/>
        <w:rPr>
          <w:color w:val="0070C0"/>
        </w:rPr>
      </w:pPr>
    </w:p>
    <w:p w14:paraId="20E8E338" w14:textId="20CAE3A5" w:rsidR="000621AD" w:rsidRDefault="000621AD" w:rsidP="00051953">
      <w:pPr>
        <w:pStyle w:val="NoSpacing"/>
      </w:pPr>
    </w:p>
    <w:p w14:paraId="228BE911" w14:textId="77777777" w:rsidR="00527B5B" w:rsidRDefault="00527B5B" w:rsidP="00051953">
      <w:pPr>
        <w:pStyle w:val="NoSpacing"/>
      </w:pPr>
    </w:p>
    <w:p w14:paraId="7A168AF9" w14:textId="77777777" w:rsidR="0090216A" w:rsidRPr="000C7936" w:rsidRDefault="0090216A" w:rsidP="001D51B7">
      <w:pPr>
        <w:pStyle w:val="paragraph"/>
        <w:ind w:left="720"/>
        <w:textAlignment w:val="baseline"/>
        <w:rPr>
          <w:rFonts w:asciiTheme="minorHAnsi" w:hAnsiTheme="minorHAnsi" w:cstheme="minorHAnsi"/>
        </w:rPr>
      </w:pPr>
    </w:p>
    <w:p w14:paraId="32BD8537" w14:textId="787E379B" w:rsidR="00292D1B" w:rsidRDefault="00246537">
      <w:pPr>
        <w:rPr>
          <w:rFonts w:cstheme="minorHAnsi"/>
        </w:rPr>
      </w:pPr>
      <w:r>
        <w:rPr>
          <w:rFonts w:cstheme="minorHAnsi"/>
        </w:rPr>
        <w:t>Speedy Trial Motion</w:t>
      </w:r>
    </w:p>
    <w:p w14:paraId="1D283284" w14:textId="77777777" w:rsidR="00D96BB9" w:rsidRPr="000C7936" w:rsidRDefault="00D96BB9">
      <w:pPr>
        <w:rPr>
          <w:rFonts w:cstheme="minorHAnsi"/>
        </w:rPr>
      </w:pPr>
    </w:p>
    <w:sectPr w:rsidR="00D96BB9" w:rsidRPr="000C7936" w:rsidSect="00A36080">
      <w:footerReference w:type="default" r:id="rId1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7CC43" w14:textId="77777777" w:rsidR="00307BCF" w:rsidRDefault="00307BCF" w:rsidP="004E2751">
      <w:pPr>
        <w:spacing w:after="0" w:line="240" w:lineRule="auto"/>
      </w:pPr>
      <w:r>
        <w:separator/>
      </w:r>
    </w:p>
  </w:endnote>
  <w:endnote w:type="continuationSeparator" w:id="0">
    <w:p w14:paraId="15509650" w14:textId="77777777" w:rsidR="00307BCF" w:rsidRDefault="00307BCF" w:rsidP="004E2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Amasis MT Pro Medium">
    <w:altName w:val="Cambria"/>
    <w:charset w:val="00"/>
    <w:family w:val="roman"/>
    <w:pitch w:val="variable"/>
    <w:sig w:usb0="A00000AF" w:usb1="4000205B" w:usb2="00000000" w:usb3="00000000" w:csb0="00000093" w:csb1="00000000"/>
  </w:font>
  <w:font w:name="Arial Rounded MT Bold">
    <w:panose1 w:val="020F0704030504030204"/>
    <w:charset w:val="00"/>
    <w:family w:val="swiss"/>
    <w:pitch w:val="variable"/>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231DC" w14:textId="67D46DD8" w:rsidR="004E2751" w:rsidRDefault="004E2751">
    <w:pPr>
      <w:pStyle w:val="Footer"/>
    </w:pPr>
    <w:r>
      <w:rPr>
        <w:noProof/>
      </w:rPr>
      <w:drawing>
        <wp:inline distT="0" distB="0" distL="0" distR="0" wp14:anchorId="4B42525B" wp14:editId="421A0233">
          <wp:extent cx="5943600" cy="3517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351790"/>
                  </a:xfrm>
                  <a:prstGeom prst="rect">
                    <a:avLst/>
                  </a:prstGeom>
                  <a:noFill/>
                  <a:ln>
                    <a:noFill/>
                  </a:ln>
                </pic:spPr>
              </pic:pic>
            </a:graphicData>
          </a:graphic>
        </wp:inline>
      </w:drawing>
    </w:r>
  </w:p>
  <w:p w14:paraId="1153EA6A" w14:textId="77777777" w:rsidR="004E2751" w:rsidRDefault="004E27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FE369" w14:textId="77777777" w:rsidR="00307BCF" w:rsidRDefault="00307BCF" w:rsidP="004E2751">
      <w:pPr>
        <w:spacing w:after="0" w:line="240" w:lineRule="auto"/>
      </w:pPr>
      <w:r>
        <w:separator/>
      </w:r>
    </w:p>
  </w:footnote>
  <w:footnote w:type="continuationSeparator" w:id="0">
    <w:p w14:paraId="5336CFFF" w14:textId="77777777" w:rsidR="00307BCF" w:rsidRDefault="00307BCF" w:rsidP="004E27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E42312"/>
    <w:multiLevelType w:val="hybridMultilevel"/>
    <w:tmpl w:val="32E61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874A77"/>
    <w:multiLevelType w:val="hybridMultilevel"/>
    <w:tmpl w:val="0910EF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302426"/>
    <w:multiLevelType w:val="hybridMultilevel"/>
    <w:tmpl w:val="0032EDB4"/>
    <w:lvl w:ilvl="0" w:tplc="A36879CC">
      <w:start w:val="1"/>
      <w:numFmt w:val="bullet"/>
      <w:lvlText w:val="•"/>
      <w:lvlJc w:val="left"/>
      <w:pPr>
        <w:tabs>
          <w:tab w:val="num" w:pos="720"/>
        </w:tabs>
        <w:ind w:left="720" w:hanging="360"/>
      </w:pPr>
      <w:rPr>
        <w:rFonts w:ascii="Arial" w:hAnsi="Arial" w:hint="default"/>
      </w:rPr>
    </w:lvl>
    <w:lvl w:ilvl="1" w:tplc="F39C3EC4" w:tentative="1">
      <w:start w:val="1"/>
      <w:numFmt w:val="bullet"/>
      <w:lvlText w:val="•"/>
      <w:lvlJc w:val="left"/>
      <w:pPr>
        <w:tabs>
          <w:tab w:val="num" w:pos="1440"/>
        </w:tabs>
        <w:ind w:left="1440" w:hanging="360"/>
      </w:pPr>
      <w:rPr>
        <w:rFonts w:ascii="Arial" w:hAnsi="Arial" w:hint="default"/>
      </w:rPr>
    </w:lvl>
    <w:lvl w:ilvl="2" w:tplc="77661E9E" w:tentative="1">
      <w:start w:val="1"/>
      <w:numFmt w:val="bullet"/>
      <w:lvlText w:val="•"/>
      <w:lvlJc w:val="left"/>
      <w:pPr>
        <w:tabs>
          <w:tab w:val="num" w:pos="2160"/>
        </w:tabs>
        <w:ind w:left="2160" w:hanging="360"/>
      </w:pPr>
      <w:rPr>
        <w:rFonts w:ascii="Arial" w:hAnsi="Arial" w:hint="default"/>
      </w:rPr>
    </w:lvl>
    <w:lvl w:ilvl="3" w:tplc="086A3A0C" w:tentative="1">
      <w:start w:val="1"/>
      <w:numFmt w:val="bullet"/>
      <w:lvlText w:val="•"/>
      <w:lvlJc w:val="left"/>
      <w:pPr>
        <w:tabs>
          <w:tab w:val="num" w:pos="2880"/>
        </w:tabs>
        <w:ind w:left="2880" w:hanging="360"/>
      </w:pPr>
      <w:rPr>
        <w:rFonts w:ascii="Arial" w:hAnsi="Arial" w:hint="default"/>
      </w:rPr>
    </w:lvl>
    <w:lvl w:ilvl="4" w:tplc="6B2E4806" w:tentative="1">
      <w:start w:val="1"/>
      <w:numFmt w:val="bullet"/>
      <w:lvlText w:val="•"/>
      <w:lvlJc w:val="left"/>
      <w:pPr>
        <w:tabs>
          <w:tab w:val="num" w:pos="3600"/>
        </w:tabs>
        <w:ind w:left="3600" w:hanging="360"/>
      </w:pPr>
      <w:rPr>
        <w:rFonts w:ascii="Arial" w:hAnsi="Arial" w:hint="default"/>
      </w:rPr>
    </w:lvl>
    <w:lvl w:ilvl="5" w:tplc="5BB6C668" w:tentative="1">
      <w:start w:val="1"/>
      <w:numFmt w:val="bullet"/>
      <w:lvlText w:val="•"/>
      <w:lvlJc w:val="left"/>
      <w:pPr>
        <w:tabs>
          <w:tab w:val="num" w:pos="4320"/>
        </w:tabs>
        <w:ind w:left="4320" w:hanging="360"/>
      </w:pPr>
      <w:rPr>
        <w:rFonts w:ascii="Arial" w:hAnsi="Arial" w:hint="default"/>
      </w:rPr>
    </w:lvl>
    <w:lvl w:ilvl="6" w:tplc="41C6BBAA" w:tentative="1">
      <w:start w:val="1"/>
      <w:numFmt w:val="bullet"/>
      <w:lvlText w:val="•"/>
      <w:lvlJc w:val="left"/>
      <w:pPr>
        <w:tabs>
          <w:tab w:val="num" w:pos="5040"/>
        </w:tabs>
        <w:ind w:left="5040" w:hanging="360"/>
      </w:pPr>
      <w:rPr>
        <w:rFonts w:ascii="Arial" w:hAnsi="Arial" w:hint="default"/>
      </w:rPr>
    </w:lvl>
    <w:lvl w:ilvl="7" w:tplc="DB2EF13E" w:tentative="1">
      <w:start w:val="1"/>
      <w:numFmt w:val="bullet"/>
      <w:lvlText w:val="•"/>
      <w:lvlJc w:val="left"/>
      <w:pPr>
        <w:tabs>
          <w:tab w:val="num" w:pos="5760"/>
        </w:tabs>
        <w:ind w:left="5760" w:hanging="360"/>
      </w:pPr>
      <w:rPr>
        <w:rFonts w:ascii="Arial" w:hAnsi="Arial" w:hint="default"/>
      </w:rPr>
    </w:lvl>
    <w:lvl w:ilvl="8" w:tplc="9B3E44C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CA769F9"/>
    <w:multiLevelType w:val="hybridMultilevel"/>
    <w:tmpl w:val="79065A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D552D3"/>
    <w:multiLevelType w:val="hybridMultilevel"/>
    <w:tmpl w:val="5B80B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DC5051"/>
    <w:multiLevelType w:val="hybridMultilevel"/>
    <w:tmpl w:val="F9D2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67003A"/>
    <w:multiLevelType w:val="hybridMultilevel"/>
    <w:tmpl w:val="424EF8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FC2537"/>
    <w:multiLevelType w:val="hybridMultilevel"/>
    <w:tmpl w:val="B54A7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D9545B"/>
    <w:multiLevelType w:val="hybridMultilevel"/>
    <w:tmpl w:val="F9F00E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0D0214"/>
    <w:multiLevelType w:val="hybridMultilevel"/>
    <w:tmpl w:val="B644D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1393130">
    <w:abstractNumId w:val="0"/>
  </w:num>
  <w:num w:numId="2" w16cid:durableId="1609433099">
    <w:abstractNumId w:val="2"/>
  </w:num>
  <w:num w:numId="3" w16cid:durableId="785082976">
    <w:abstractNumId w:val="3"/>
  </w:num>
  <w:num w:numId="4" w16cid:durableId="1311132178">
    <w:abstractNumId w:val="6"/>
  </w:num>
  <w:num w:numId="5" w16cid:durableId="887692211">
    <w:abstractNumId w:val="7"/>
  </w:num>
  <w:num w:numId="6" w16cid:durableId="698704964">
    <w:abstractNumId w:val="5"/>
  </w:num>
  <w:num w:numId="7" w16cid:durableId="1766264568">
    <w:abstractNumId w:val="9"/>
  </w:num>
  <w:num w:numId="8" w16cid:durableId="310909015">
    <w:abstractNumId w:val="8"/>
  </w:num>
  <w:num w:numId="9" w16cid:durableId="553858999">
    <w:abstractNumId w:val="1"/>
  </w:num>
  <w:num w:numId="10" w16cid:durableId="6850144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751"/>
    <w:rsid w:val="0000475B"/>
    <w:rsid w:val="000114FC"/>
    <w:rsid w:val="000230CC"/>
    <w:rsid w:val="00030BCD"/>
    <w:rsid w:val="00031443"/>
    <w:rsid w:val="000477B8"/>
    <w:rsid w:val="00051953"/>
    <w:rsid w:val="000621AD"/>
    <w:rsid w:val="0007324A"/>
    <w:rsid w:val="000734E3"/>
    <w:rsid w:val="000C7936"/>
    <w:rsid w:val="000D2574"/>
    <w:rsid w:val="000D575C"/>
    <w:rsid w:val="00132831"/>
    <w:rsid w:val="00134C10"/>
    <w:rsid w:val="001363D3"/>
    <w:rsid w:val="00141D78"/>
    <w:rsid w:val="00164E18"/>
    <w:rsid w:val="001830CE"/>
    <w:rsid w:val="00187B8A"/>
    <w:rsid w:val="001953E4"/>
    <w:rsid w:val="001C18B9"/>
    <w:rsid w:val="001D51B7"/>
    <w:rsid w:val="002246A3"/>
    <w:rsid w:val="00246537"/>
    <w:rsid w:val="002723A2"/>
    <w:rsid w:val="00286BA8"/>
    <w:rsid w:val="00292D1B"/>
    <w:rsid w:val="002955A0"/>
    <w:rsid w:val="002E2E86"/>
    <w:rsid w:val="002F3AB6"/>
    <w:rsid w:val="002F4F1F"/>
    <w:rsid w:val="0030160C"/>
    <w:rsid w:val="003062FB"/>
    <w:rsid w:val="00307BCF"/>
    <w:rsid w:val="00344F75"/>
    <w:rsid w:val="003579B8"/>
    <w:rsid w:val="00357C89"/>
    <w:rsid w:val="003734AA"/>
    <w:rsid w:val="003A6582"/>
    <w:rsid w:val="00404047"/>
    <w:rsid w:val="00432D64"/>
    <w:rsid w:val="004505A2"/>
    <w:rsid w:val="004868FA"/>
    <w:rsid w:val="004965AB"/>
    <w:rsid w:val="004A3762"/>
    <w:rsid w:val="004E2751"/>
    <w:rsid w:val="004E3D7F"/>
    <w:rsid w:val="0050136A"/>
    <w:rsid w:val="00510EFF"/>
    <w:rsid w:val="005120CE"/>
    <w:rsid w:val="00527B5B"/>
    <w:rsid w:val="00561587"/>
    <w:rsid w:val="00562280"/>
    <w:rsid w:val="00565655"/>
    <w:rsid w:val="00572539"/>
    <w:rsid w:val="005872F6"/>
    <w:rsid w:val="00593A5F"/>
    <w:rsid w:val="005C5535"/>
    <w:rsid w:val="00602DB2"/>
    <w:rsid w:val="0063023F"/>
    <w:rsid w:val="00634565"/>
    <w:rsid w:val="00653870"/>
    <w:rsid w:val="00661387"/>
    <w:rsid w:val="0066273B"/>
    <w:rsid w:val="0067547B"/>
    <w:rsid w:val="006826B7"/>
    <w:rsid w:val="006A104C"/>
    <w:rsid w:val="006A4B32"/>
    <w:rsid w:val="006E11AE"/>
    <w:rsid w:val="006E6A96"/>
    <w:rsid w:val="00711DD5"/>
    <w:rsid w:val="00726E3A"/>
    <w:rsid w:val="007401CC"/>
    <w:rsid w:val="0076034A"/>
    <w:rsid w:val="00762D2A"/>
    <w:rsid w:val="00783639"/>
    <w:rsid w:val="007925D4"/>
    <w:rsid w:val="00797FD6"/>
    <w:rsid w:val="007A17BF"/>
    <w:rsid w:val="00812FD0"/>
    <w:rsid w:val="00835782"/>
    <w:rsid w:val="00870027"/>
    <w:rsid w:val="00871C7C"/>
    <w:rsid w:val="00884262"/>
    <w:rsid w:val="00896DB4"/>
    <w:rsid w:val="00897038"/>
    <w:rsid w:val="008A0689"/>
    <w:rsid w:val="008B6433"/>
    <w:rsid w:val="008E37A5"/>
    <w:rsid w:val="008F7E77"/>
    <w:rsid w:val="0090216A"/>
    <w:rsid w:val="00902791"/>
    <w:rsid w:val="00917CD3"/>
    <w:rsid w:val="00917F12"/>
    <w:rsid w:val="00927C5E"/>
    <w:rsid w:val="00936D08"/>
    <w:rsid w:val="00946AD0"/>
    <w:rsid w:val="00962B50"/>
    <w:rsid w:val="00963F3A"/>
    <w:rsid w:val="00971E5A"/>
    <w:rsid w:val="00976EF5"/>
    <w:rsid w:val="00987822"/>
    <w:rsid w:val="009A17C6"/>
    <w:rsid w:val="009B1320"/>
    <w:rsid w:val="009B3029"/>
    <w:rsid w:val="009C5273"/>
    <w:rsid w:val="009D3AD1"/>
    <w:rsid w:val="009F00F1"/>
    <w:rsid w:val="00A009E2"/>
    <w:rsid w:val="00A36080"/>
    <w:rsid w:val="00A37612"/>
    <w:rsid w:val="00A7093D"/>
    <w:rsid w:val="00A70F07"/>
    <w:rsid w:val="00A91FF7"/>
    <w:rsid w:val="00AC47E4"/>
    <w:rsid w:val="00AC64E8"/>
    <w:rsid w:val="00AD70FA"/>
    <w:rsid w:val="00AE49E4"/>
    <w:rsid w:val="00AF6966"/>
    <w:rsid w:val="00B13D52"/>
    <w:rsid w:val="00B46FE1"/>
    <w:rsid w:val="00B57FA3"/>
    <w:rsid w:val="00B70935"/>
    <w:rsid w:val="00B81498"/>
    <w:rsid w:val="00B8704E"/>
    <w:rsid w:val="00C02B6E"/>
    <w:rsid w:val="00C13A67"/>
    <w:rsid w:val="00C27252"/>
    <w:rsid w:val="00C30FBC"/>
    <w:rsid w:val="00C47072"/>
    <w:rsid w:val="00C53950"/>
    <w:rsid w:val="00C641DA"/>
    <w:rsid w:val="00C80744"/>
    <w:rsid w:val="00C90942"/>
    <w:rsid w:val="00CB41B5"/>
    <w:rsid w:val="00CB7CC7"/>
    <w:rsid w:val="00CC36B1"/>
    <w:rsid w:val="00CD354F"/>
    <w:rsid w:val="00D119D1"/>
    <w:rsid w:val="00D82068"/>
    <w:rsid w:val="00D96BB9"/>
    <w:rsid w:val="00DC38A4"/>
    <w:rsid w:val="00DD5BF1"/>
    <w:rsid w:val="00DF1D86"/>
    <w:rsid w:val="00DF46F2"/>
    <w:rsid w:val="00DF51E2"/>
    <w:rsid w:val="00E077B3"/>
    <w:rsid w:val="00E13A58"/>
    <w:rsid w:val="00E1613E"/>
    <w:rsid w:val="00E17C7E"/>
    <w:rsid w:val="00E31679"/>
    <w:rsid w:val="00E40AB0"/>
    <w:rsid w:val="00E51860"/>
    <w:rsid w:val="00E71D16"/>
    <w:rsid w:val="00E74B15"/>
    <w:rsid w:val="00E75391"/>
    <w:rsid w:val="00E773C1"/>
    <w:rsid w:val="00EA45FF"/>
    <w:rsid w:val="00EE0A0B"/>
    <w:rsid w:val="00F0784E"/>
    <w:rsid w:val="00F349B4"/>
    <w:rsid w:val="00F5604D"/>
    <w:rsid w:val="00F57C83"/>
    <w:rsid w:val="00FA2DDE"/>
    <w:rsid w:val="00FA5F29"/>
    <w:rsid w:val="00FD12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B4A0"/>
  <w15:chartTrackingRefBased/>
  <w15:docId w15:val="{53F9967E-84B5-4D20-BEEF-FB8F0BB19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4E275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E27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2751"/>
  </w:style>
  <w:style w:type="paragraph" w:styleId="Footer">
    <w:name w:val="footer"/>
    <w:basedOn w:val="Normal"/>
    <w:link w:val="FooterChar"/>
    <w:uiPriority w:val="99"/>
    <w:unhideWhenUsed/>
    <w:rsid w:val="004E27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2751"/>
  </w:style>
  <w:style w:type="character" w:styleId="Strong">
    <w:name w:val="Strong"/>
    <w:basedOn w:val="DefaultParagraphFont"/>
    <w:uiPriority w:val="22"/>
    <w:qFormat/>
    <w:rsid w:val="008B6433"/>
    <w:rPr>
      <w:b/>
      <w:bCs/>
    </w:rPr>
  </w:style>
  <w:style w:type="paragraph" w:styleId="NoSpacing">
    <w:name w:val="No Spacing"/>
    <w:uiPriority w:val="1"/>
    <w:qFormat/>
    <w:rsid w:val="00132831"/>
    <w:pPr>
      <w:spacing w:after="0" w:line="240" w:lineRule="auto"/>
    </w:pPr>
  </w:style>
  <w:style w:type="character" w:styleId="Hyperlink">
    <w:name w:val="Hyperlink"/>
    <w:basedOn w:val="DefaultParagraphFont"/>
    <w:uiPriority w:val="99"/>
    <w:unhideWhenUsed/>
    <w:rsid w:val="00C02B6E"/>
    <w:rPr>
      <w:color w:val="0563C1" w:themeColor="hyperlink"/>
      <w:u w:val="single"/>
    </w:rPr>
  </w:style>
  <w:style w:type="character" w:styleId="UnresolvedMention">
    <w:name w:val="Unresolved Mention"/>
    <w:basedOn w:val="DefaultParagraphFont"/>
    <w:uiPriority w:val="99"/>
    <w:semiHidden/>
    <w:unhideWhenUsed/>
    <w:rsid w:val="00C02B6E"/>
    <w:rPr>
      <w:color w:val="605E5C"/>
      <w:shd w:val="clear" w:color="auto" w:fill="E1DFDD"/>
    </w:rPr>
  </w:style>
  <w:style w:type="character" w:styleId="FollowedHyperlink">
    <w:name w:val="FollowedHyperlink"/>
    <w:basedOn w:val="DefaultParagraphFont"/>
    <w:uiPriority w:val="99"/>
    <w:semiHidden/>
    <w:unhideWhenUsed/>
    <w:rsid w:val="000621AD"/>
    <w:rPr>
      <w:color w:val="954F72" w:themeColor="followedHyperlink"/>
      <w:u w:val="single"/>
    </w:rPr>
  </w:style>
  <w:style w:type="paragraph" w:styleId="ListParagraph">
    <w:name w:val="List Paragraph"/>
    <w:basedOn w:val="Normal"/>
    <w:uiPriority w:val="34"/>
    <w:qFormat/>
    <w:rsid w:val="00357C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450710">
      <w:bodyDiv w:val="1"/>
      <w:marLeft w:val="0"/>
      <w:marRight w:val="0"/>
      <w:marTop w:val="0"/>
      <w:marBottom w:val="0"/>
      <w:divBdr>
        <w:top w:val="none" w:sz="0" w:space="0" w:color="auto"/>
        <w:left w:val="none" w:sz="0" w:space="0" w:color="auto"/>
        <w:bottom w:val="none" w:sz="0" w:space="0" w:color="auto"/>
        <w:right w:val="none" w:sz="0" w:space="0" w:color="auto"/>
      </w:divBdr>
      <w:divsChild>
        <w:div w:id="1718747231">
          <w:marLeft w:val="0"/>
          <w:marRight w:val="0"/>
          <w:marTop w:val="0"/>
          <w:marBottom w:val="0"/>
          <w:divBdr>
            <w:top w:val="none" w:sz="0" w:space="0" w:color="auto"/>
            <w:left w:val="none" w:sz="0" w:space="0" w:color="auto"/>
            <w:bottom w:val="none" w:sz="0" w:space="0" w:color="auto"/>
            <w:right w:val="none" w:sz="0" w:space="0" w:color="auto"/>
          </w:divBdr>
          <w:divsChild>
            <w:div w:id="48308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22842">
      <w:bodyDiv w:val="1"/>
      <w:marLeft w:val="0"/>
      <w:marRight w:val="0"/>
      <w:marTop w:val="0"/>
      <w:marBottom w:val="0"/>
      <w:divBdr>
        <w:top w:val="none" w:sz="0" w:space="0" w:color="auto"/>
        <w:left w:val="none" w:sz="0" w:space="0" w:color="auto"/>
        <w:bottom w:val="none" w:sz="0" w:space="0" w:color="auto"/>
        <w:right w:val="none" w:sz="0" w:space="0" w:color="auto"/>
      </w:divBdr>
      <w:divsChild>
        <w:div w:id="92028837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1.next.westlaw.com/Link/Document/FullText?findType=Y&amp;serNum=1997246387&amp;pubNum=0000661&amp;originatingDoc=N9B05FEC09D8A11DAA688FED05A9C725C&amp;refType=RP&amp;originationContext=notesOfDecisions&amp;contextData=%28sc.Search%29&amp;transitionType=NotesOfDecisionItem&amp;ppcid=9a86599ffb3745debb5ac7800e1495b3" TargetMode="External"/><Relationship Id="rId13" Type="http://schemas.openxmlformats.org/officeDocument/2006/relationships/hyperlink" Target="https://defensenet.org/resources/obtaining-privileged-records-other-than-cps-7-2015/"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defensenet.org/resources/motion-to-compel-in-person-interview-or-deposition-3-202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1.next.westlaw.com/Link/Document/FullText?findType=Y&amp;serNum=1998219508&amp;pubNum=0000661&amp;originatingDoc=N9B05FEC09D8A11DAA688FED05A9C725C&amp;refType=RP&amp;originationContext=notesOfDecisions&amp;contextData=%28sc.Search%29&amp;transitionType=NotesOfDecisionItem&amp;ppcid=9a86599ffb3745debb5ac7800e1495b3" TargetMode="External"/><Relationship Id="rId5" Type="http://schemas.openxmlformats.org/officeDocument/2006/relationships/footnotes" Target="footnotes.xml"/><Relationship Id="rId15" Type="http://schemas.openxmlformats.org/officeDocument/2006/relationships/hyperlink" Target="https://defensenet.org/resources/sdt-for-cps/" TargetMode="External"/><Relationship Id="rId10" Type="http://schemas.openxmlformats.org/officeDocument/2006/relationships/hyperlink" Target="https://1.next.westlaw.com/Link/Document/FullText?findType=Y&amp;serNum=1997246387&amp;pubNum=0000661&amp;originatingDoc=N9B05FEC09D8A11DAA688FED05A9C725C&amp;refType=RP&amp;originationContext=notesOfDecisions&amp;contextData=%28sc.Search%29&amp;transitionType=NotesOfDecisionItem&amp;ppcid=9a86599ffb3745debb5ac7800e1495b3"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s://1.next.westlaw.com/Link/Document/FullText?findType=Y&amp;serNum=1997246387&amp;pubNum=0000661&amp;originatingDoc=N9B05FEC09D8A11DAA688FED05A9C725C&amp;refType=RP&amp;originationContext=notesOfDecisions&amp;contextData=%28sc.Search%29&amp;transitionType=NotesOfDecisionItem&amp;ppcid=9a86599ffb3745debb5ac7800e1495b3" TargetMode="External"/><Relationship Id="rId14" Type="http://schemas.openxmlformats.org/officeDocument/2006/relationships/hyperlink" Target="https://defensenet.org/resources/motion-for-cps-records-2016/"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8A9D8A560309469CAA5589313D6600" ma:contentTypeVersion="6" ma:contentTypeDescription="Create a new document." ma:contentTypeScope="" ma:versionID="52b871100488376e6c2de074150b1190">
  <xsd:schema xmlns:xsd="http://www.w3.org/2001/XMLSchema" xmlns:xs="http://www.w3.org/2001/XMLSchema" xmlns:p="http://schemas.microsoft.com/office/2006/metadata/properties" xmlns:ns2="6b028cc4-3ff8-4b40-9131-25d974e7e3e2" xmlns:ns3="b187087b-dd56-458f-b50b-527ca1c6a8f6" targetNamespace="http://schemas.microsoft.com/office/2006/metadata/properties" ma:root="true" ma:fieldsID="f8b22ef140178cae644f81f592b1087d" ns2:_="" ns3:_="">
    <xsd:import namespace="6b028cc4-3ff8-4b40-9131-25d974e7e3e2"/>
    <xsd:import namespace="b187087b-dd56-458f-b50b-527ca1c6a8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028cc4-3ff8-4b40-9131-25d974e7e3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87087b-dd56-458f-b50b-527ca1c6a8f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DE711C-FE8C-4B73-97CC-9BB740C1F197}"/>
</file>

<file path=customXml/itemProps2.xml><?xml version="1.0" encoding="utf-8"?>
<ds:datastoreItem xmlns:ds="http://schemas.openxmlformats.org/officeDocument/2006/customXml" ds:itemID="{4E222F7D-84B3-402F-BC08-2EB523DC9763}"/>
</file>

<file path=docProps/app.xml><?xml version="1.0" encoding="utf-8"?>
<Properties xmlns="http://schemas.openxmlformats.org/officeDocument/2006/extended-properties" xmlns:vt="http://schemas.openxmlformats.org/officeDocument/2006/docPropsVTypes">
  <Template>Normal</Template>
  <TotalTime>0</TotalTime>
  <Pages>4</Pages>
  <Words>1471</Words>
  <Characters>8386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Sheri Oertel</dc:creator>
  <cp:keywords/>
  <dc:description/>
  <cp:lastModifiedBy>Sheri Oertel</cp:lastModifiedBy>
  <cp:revision>2</cp:revision>
  <dcterms:created xsi:type="dcterms:W3CDTF">2022-12-15T00:43:00Z</dcterms:created>
  <dcterms:modified xsi:type="dcterms:W3CDTF">2022-12-15T00:43:00Z</dcterms:modified>
</cp:coreProperties>
</file>